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86804" w14:textId="1C19076C" w:rsidR="008E0592" w:rsidRPr="00A47BD1" w:rsidRDefault="008E0592" w:rsidP="00A47BD1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A47BD1">
        <w:rPr>
          <w:rFonts w:ascii="Times New Roman" w:hAnsi="Times New Roman"/>
          <w:sz w:val="28"/>
          <w:szCs w:val="28"/>
          <w:u w:val="single"/>
        </w:rPr>
        <w:t xml:space="preserve">ZAGADNIENIA I PYTANIA ZGŁOSZONE PRZEZ </w:t>
      </w:r>
      <w:r w:rsidR="00CD564C">
        <w:rPr>
          <w:rFonts w:ascii="Times New Roman" w:hAnsi="Times New Roman"/>
          <w:sz w:val="28"/>
          <w:szCs w:val="28"/>
          <w:u w:val="single"/>
        </w:rPr>
        <w:t>BENEFICJENTÓW</w:t>
      </w:r>
      <w:r w:rsidR="00A47BD1" w:rsidRPr="00A47BD1">
        <w:rPr>
          <w:rFonts w:ascii="Times New Roman" w:hAnsi="Times New Roman"/>
          <w:sz w:val="28"/>
          <w:szCs w:val="28"/>
          <w:u w:val="single"/>
        </w:rPr>
        <w:t xml:space="preserve"> DO SAMORZĄDU WOJEWÓDZTWA MAŁOPOLSKIEGO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797"/>
        <w:gridCol w:w="5874"/>
        <w:gridCol w:w="7612"/>
      </w:tblGrid>
      <w:tr w:rsidR="008E0592" w14:paraId="65851A5E" w14:textId="77777777" w:rsidTr="00A47BD1">
        <w:tc>
          <w:tcPr>
            <w:tcW w:w="797" w:type="dxa"/>
            <w:shd w:val="clear" w:color="auto" w:fill="BDD6EE" w:themeFill="accent5" w:themeFillTint="66"/>
          </w:tcPr>
          <w:p w14:paraId="5D2014C6" w14:textId="3C873F0C" w:rsidR="008E0592" w:rsidRPr="00A47BD1" w:rsidRDefault="00A47BD1">
            <w:pPr>
              <w:rPr>
                <w:sz w:val="28"/>
                <w:szCs w:val="28"/>
              </w:rPr>
            </w:pPr>
            <w:r w:rsidRPr="00A47BD1">
              <w:rPr>
                <w:sz w:val="28"/>
                <w:szCs w:val="28"/>
              </w:rPr>
              <w:t>LP.</w:t>
            </w:r>
          </w:p>
        </w:tc>
        <w:tc>
          <w:tcPr>
            <w:tcW w:w="5874" w:type="dxa"/>
            <w:shd w:val="clear" w:color="auto" w:fill="BDD6EE" w:themeFill="accent5" w:themeFillTint="66"/>
          </w:tcPr>
          <w:p w14:paraId="32C9D9A8" w14:textId="7D64F3B2" w:rsidR="008E0592" w:rsidRPr="00A47BD1" w:rsidRDefault="00A47BD1">
            <w:pPr>
              <w:rPr>
                <w:sz w:val="28"/>
                <w:szCs w:val="28"/>
              </w:rPr>
            </w:pPr>
            <w:r w:rsidRPr="00A47BD1">
              <w:rPr>
                <w:sz w:val="28"/>
                <w:szCs w:val="28"/>
              </w:rPr>
              <w:t>PYTANIE</w:t>
            </w:r>
          </w:p>
        </w:tc>
        <w:tc>
          <w:tcPr>
            <w:tcW w:w="7612" w:type="dxa"/>
            <w:shd w:val="clear" w:color="auto" w:fill="BDD6EE" w:themeFill="accent5" w:themeFillTint="66"/>
          </w:tcPr>
          <w:p w14:paraId="04AFC0D3" w14:textId="2364ED6F" w:rsidR="008E0592" w:rsidRPr="00A47BD1" w:rsidRDefault="00A47BD1">
            <w:pPr>
              <w:rPr>
                <w:sz w:val="28"/>
                <w:szCs w:val="28"/>
              </w:rPr>
            </w:pPr>
            <w:r w:rsidRPr="00A47BD1">
              <w:rPr>
                <w:sz w:val="28"/>
                <w:szCs w:val="28"/>
              </w:rPr>
              <w:t>STANOWISKO SW</w:t>
            </w:r>
          </w:p>
        </w:tc>
      </w:tr>
      <w:tr w:rsidR="008E0592" w14:paraId="51FFED3A" w14:textId="77777777" w:rsidTr="00A47BD1">
        <w:tc>
          <w:tcPr>
            <w:tcW w:w="797" w:type="dxa"/>
          </w:tcPr>
          <w:p w14:paraId="3E517F6F" w14:textId="63A521AA" w:rsidR="008E0592" w:rsidRDefault="008E0592" w:rsidP="00A47BD1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5874" w:type="dxa"/>
          </w:tcPr>
          <w:p w14:paraId="4134C2CC" w14:textId="29F2FF32" w:rsidR="000F0035" w:rsidRPr="00A47BD1" w:rsidRDefault="000F0035" w:rsidP="000F0035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  <w:r w:rsidRPr="00A47BD1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ZASADA KONKURENCYJNOŚCI</w:t>
            </w:r>
          </w:p>
          <w:p w14:paraId="39EF195F" w14:textId="4C99BEAD" w:rsidR="008E0592" w:rsidRPr="00CE5486" w:rsidRDefault="008E0592" w:rsidP="00CE5486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E54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Rezygnacja z zasady konkurencyjności a racjonalność ponoszenia wydatków – czy są jakieś rekomendacje dla beneficjentów w tym zakresie?</w:t>
            </w:r>
          </w:p>
          <w:p w14:paraId="5792A5C1" w14:textId="34B3092E" w:rsidR="008E0592" w:rsidRPr="006D1868" w:rsidRDefault="008E0592" w:rsidP="006D1868">
            <w:pPr>
              <w:ind w:left="72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612" w:type="dxa"/>
          </w:tcPr>
          <w:p w14:paraId="1E820714" w14:textId="77777777" w:rsidR="008E0592" w:rsidRDefault="008E0592" w:rsidP="008E0592">
            <w:pPr>
              <w:pStyle w:val="Akapitzli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6D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W dni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 18.04.2020 r. weszła w życie u</w:t>
            </w:r>
            <w:r w:rsidRPr="00E96D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stawa z dnia 16 kwietnia 2020 r. o szczególnych instrumentach wsparcia w związku z rozprzestrzenianiem się wirusa SARS-CoV-2 (Dz.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U. poz. 695) zmieniająca m.in. u</w:t>
            </w:r>
            <w:r w:rsidRPr="00E96D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stawę z dnia 20 lutego 2015 r. o wspieraniu rozwoju obszarów wiejskich z udziałem środków Europejskiego Funduszu Rolnego na rzecz Rozwoju Obszarów Wiejskich w ramach Programu Rozwoju Obszarów Wiejskich na lata 2014–2020 (Dz. U. z 2020 r. poz. 217 i 300). </w:t>
            </w:r>
          </w:p>
          <w:p w14:paraId="7D565710" w14:textId="50861021" w:rsidR="008E0592" w:rsidRPr="00E96DE7" w:rsidRDefault="008E0592" w:rsidP="008E0592">
            <w:pPr>
              <w:pStyle w:val="Akapitzli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6DE7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Zgodnie z art. 53 pkt 5 ww. ustawy z dnia 16 kwietnia 2020 r. z dniem jej</w:t>
            </w:r>
            <w:r w:rsidR="00410E72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Pr="00E96DE7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wejścia</w:t>
            </w:r>
            <w:r w:rsidR="00410E72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Pr="00E96DE7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w życie (18.04.2020 r.) uchylone zostały przepisy dotyczące obowiązku stosowania konkurencyjnego trybu wyboru wykonawców dla działań/poddziałań i pomocy technicznej realizowanych w ramach Programu Rozwoju Obszarów Wiejskich na lata 2014 – 2020.</w:t>
            </w:r>
            <w:r w:rsidRPr="00C017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01734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Tym samym we wszystkich działaniach/poddziałaniach PROW na lata 2014-2020, w których dotychczas obowiązywał konkurencyjny tryb wyboru wykonawców, a także w pomocy technicznej, przestaje on obowiązywać z dniem 18.04.2020 r.</w:t>
            </w:r>
            <w:r w:rsidRPr="00E96D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745707FB" w14:textId="77777777" w:rsidR="008E0592" w:rsidRPr="00C01734" w:rsidRDefault="008E0592" w:rsidP="008E0592">
            <w:pPr>
              <w:pStyle w:val="Akapitzlist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C017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Biorąc pod uwagę powyższe beneficjenci, którzy nie są zobowiązani do stosowania ustawy Prawo zamówień publicznych, nie mają obowiązku wyłanianie wykonawców w trybie konkurencyjnym.</w:t>
            </w:r>
          </w:p>
          <w:p w14:paraId="49DA1C19" w14:textId="77777777" w:rsidR="008E0592" w:rsidRPr="00E96DE7" w:rsidRDefault="008E0592" w:rsidP="008E0592">
            <w:pPr>
              <w:pStyle w:val="Akapitzli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6D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Poniżej link do strony na której został zamieszczony komunikat w przedmiotowym zakresie – zostały tam zamieszczone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opis szczegółowych sytuacji,</w:t>
            </w:r>
            <w:r w:rsidRPr="00E96D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które mogą wystąpić w trakcie realizacji operacji i kiedy można odstąpić od wyboru wykonawców w trybie konkurencyjnym.</w:t>
            </w:r>
          </w:p>
          <w:p w14:paraId="4F74C4EC" w14:textId="77777777" w:rsidR="008E0592" w:rsidRPr="00E96DE7" w:rsidRDefault="00CD564C" w:rsidP="008E0592">
            <w:pPr>
              <w:pStyle w:val="Akapitzli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hyperlink r:id="rId5" w:history="1">
              <w:r w:rsidR="008E0592" w:rsidRPr="00AF71C1">
                <w:rPr>
                  <w:rStyle w:val="Hipercze"/>
                  <w:rFonts w:ascii="Times New Roman" w:hAnsi="Times New Roman"/>
                  <w:bCs/>
                  <w:sz w:val="24"/>
                  <w:szCs w:val="24"/>
                </w:rPr>
                <w:t>https://www.prow.malopolska.pl/wiadomosci/komunikat-dotyczacy-trybu-konkurecyjnego-w-ramach-prow-2014-2020</w:t>
              </w:r>
            </w:hyperlink>
            <w:r w:rsidR="008E059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4DB36368" w14:textId="77777777" w:rsidR="008E0592" w:rsidRPr="00E96DE7" w:rsidRDefault="008E0592" w:rsidP="008E0592">
            <w:pPr>
              <w:pStyle w:val="Akapitzli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Dla </w:t>
            </w:r>
            <w:r w:rsidRPr="00E96D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beneficjentów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E96D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którzy nie są zobowiązani do stosowania ustawy Prawo zamówień publicznych, nie został określony sposób wyboru wykonawców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C017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Należy jednak pamiętać, że na etapie oceny wniosku o płatność będzie badana racjonalność koszt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ów, czyli beneficjent powinien </w:t>
            </w:r>
            <w:r w:rsidRPr="00C017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jednak przeprowadzić np. rozeznanie rynku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br/>
            </w:r>
            <w:r w:rsidRPr="00C017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w celu uzyskania oferty, która będzie potwierdzać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,</w:t>
            </w:r>
            <w:r w:rsidRPr="00C017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że koszty są uzasadnione ekonomicznie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,</w:t>
            </w:r>
            <w:r w:rsidRPr="00C017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a ceny zakupionych towarów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,</w:t>
            </w:r>
            <w:r w:rsidRPr="00C017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czy też zrealizow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anych usług nie odbiegają znacz</w:t>
            </w:r>
            <w:r w:rsidRPr="00C017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nie od cen rynkowych.</w:t>
            </w:r>
          </w:p>
          <w:p w14:paraId="2D64075F" w14:textId="77777777" w:rsidR="008E0592" w:rsidRDefault="008E0592" w:rsidP="008E0592">
            <w:pPr>
              <w:pStyle w:val="Akapitzli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FEDD48D" w14:textId="717B9390" w:rsidR="008E0592" w:rsidRPr="008E0592" w:rsidRDefault="008E0592" w:rsidP="008E0592">
            <w:pPr>
              <w:pStyle w:val="Akapitzli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W</w:t>
            </w:r>
            <w:r w:rsidRPr="00E96D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razie dalszych wątpliwości proszę o kontakt tel. 12 29 90 623 lub 728 485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E96D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523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E0592" w14:paraId="7572099A" w14:textId="77777777" w:rsidTr="00A47BD1">
        <w:tc>
          <w:tcPr>
            <w:tcW w:w="797" w:type="dxa"/>
          </w:tcPr>
          <w:p w14:paraId="6478A315" w14:textId="0681A068" w:rsidR="008E0592" w:rsidRDefault="008E0592" w:rsidP="00A47BD1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5874" w:type="dxa"/>
          </w:tcPr>
          <w:p w14:paraId="342A89A4" w14:textId="77777777" w:rsidR="00CE5486" w:rsidRPr="00BD7832" w:rsidRDefault="00CE5486" w:rsidP="000F0035">
            <w:pPr>
              <w:pStyle w:val="NormalnyWeb"/>
              <w:rPr>
                <w:u w:val="single"/>
              </w:rPr>
            </w:pPr>
            <w:r w:rsidRPr="00BD7832">
              <w:rPr>
                <w:u w:val="single"/>
              </w:rPr>
              <w:t>PREMIA:</w:t>
            </w:r>
          </w:p>
          <w:p w14:paraId="03154C0D" w14:textId="345E1967" w:rsidR="008E0592" w:rsidRPr="00CE5486" w:rsidRDefault="00CE5486" w:rsidP="00CE5486">
            <w:pPr>
              <w:pStyle w:val="Akapitzli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49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Wnioskodawca podpisał końcem roku umowę o dofinansowanie oraz otrzymał I transzę dofinansowania. Wniosek o wypłatę II transzy ma złożyć do końca bieżącego roku. Operacja polega na stworzeniu obiektu noclegowego. Czy Wnioskodawca może skorzystać z pomocy rządowej w ramach tarczy, a dokładnie z "wakacji </w:t>
            </w:r>
            <w:r w:rsidRPr="003649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od ZUS"? Czy z takiej pomocy mogą korzystać beneficjenci będący w trakcie realizacji operacji?</w:t>
            </w:r>
          </w:p>
        </w:tc>
        <w:tc>
          <w:tcPr>
            <w:tcW w:w="7612" w:type="dxa"/>
          </w:tcPr>
          <w:p w14:paraId="63134605" w14:textId="0F99D7E6" w:rsidR="00CE5486" w:rsidRPr="009501E7" w:rsidRDefault="00CE5486" w:rsidP="009501E7">
            <w:pPr>
              <w:pStyle w:val="Akapitzli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49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Zgodnie z pismem Minist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erstwa Rolnictwa i Rozwoju Wsi  beneficjenci </w:t>
            </w:r>
            <w:r w:rsidRPr="003649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Progr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amu Rozwoju Obszarów Wiejskich </w:t>
            </w:r>
            <w:r w:rsidRPr="003649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mają możliwość skorzystania z 3 miesięcznego zwolnienia w opłacaniu składek ZUS (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marzec, kwiecień, maj 2020 roku</w:t>
            </w:r>
            <w:r w:rsidRPr="003649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 niezależnie od momentu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3649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na ja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kim etapie realizacji projektu </w:t>
            </w:r>
            <w:r w:rsidRPr="003649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się znajdują.  Jed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y</w:t>
            </w:r>
            <w:r w:rsidRPr="003649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nym warunkiem jest oczywiście spełnienie wymagań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3649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jakie muszą spełnić beneficjenci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3649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by otrzymać pozytywną opinię  w tym zakresie od ZUS. Zgodnie z zapisami tzw. Tarczy antykryzysowej, przedsiębiorcy  korzystający w ramach realizacji operacji </w:t>
            </w:r>
            <w:r w:rsidRPr="003649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„Podejmowanie działalności gospodarczej” 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z tzw. „ulgi na start” oraz  Ci</w:t>
            </w:r>
            <w:r w:rsidRPr="003649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którzy zgłosili się do ubezpieczeń  dobrowolnie nie mogą skorzystać z tzw. „Wakacji od ZUS”.  </w:t>
            </w:r>
          </w:p>
        </w:tc>
      </w:tr>
      <w:tr w:rsidR="008E0592" w14:paraId="7BA19EBC" w14:textId="77777777" w:rsidTr="00A47BD1">
        <w:tc>
          <w:tcPr>
            <w:tcW w:w="797" w:type="dxa"/>
          </w:tcPr>
          <w:p w14:paraId="32E75D58" w14:textId="2B1B4008" w:rsidR="008E0592" w:rsidRDefault="008E0592" w:rsidP="00A47BD1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5874" w:type="dxa"/>
          </w:tcPr>
          <w:p w14:paraId="0ECEBC51" w14:textId="77777777" w:rsidR="00CE5486" w:rsidRPr="000F0035" w:rsidRDefault="00CE5486" w:rsidP="000F0035">
            <w:pPr>
              <w:rPr>
                <w:u w:val="single"/>
              </w:rPr>
            </w:pPr>
            <w:r w:rsidRPr="000F0035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PREMIA</w:t>
            </w:r>
          </w:p>
          <w:p w14:paraId="70F4D14E" w14:textId="4DB4770E" w:rsidR="008E0592" w:rsidRDefault="00CE5486" w:rsidP="00CE5486">
            <w:pPr>
              <w:pStyle w:val="Akapitzlist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</w:t>
            </w:r>
            <w:r w:rsidRPr="00CE54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zy beneficjenci którzy zrealizowali operację i są na etapie okresu trwałości projektu mogą korzystać z "wakacji od ZUS". Czy okres trwałości projektu zostanie wydłużony o okres, w którym nie były odprowadzane składki do ZUS? Czy beneficjenci, którzy spełniają warunki do skorzystania z "wakacji od ZUS" zgodnie z przepisami krajowymi, będą musieli przedstawić dokumenty w SW, że taka pomoc w ich przypadku była konieczna? Czy SW może uznać, że obecna sytuacja nie wpłynęła negatywnie na sytuację beneficjenta i skorzystanie z wakacji składkowych było nieuzasadnione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7612" w:type="dxa"/>
          </w:tcPr>
          <w:p w14:paraId="2DC47A5F" w14:textId="77777777" w:rsidR="00CE5486" w:rsidRDefault="00CE5486" w:rsidP="00CE5486">
            <w:pPr>
              <w:pStyle w:val="Akapitzli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49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Beneficjenci, którzy znajdują się na etapie związania z celem również mogą skorzystać z tzw. ”wakacji od ZUS”. W związku z faktem, że zawieszenie w opłacaniu składek  ZUS nie jest równoznaczne z brakiem podlegania tym  ubezpieczeniom społecznym,  dlatego też nie można traktować  nieopłacania składek ZUS prze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z</w:t>
            </w:r>
            <w:r w:rsidRPr="003649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beneficjenta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3649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jako nie wykonania zobowiązania umownego. Tym samym SWM nie ma podstaw do wy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dłużania zobowiązania umownego w tym zakresie. </w:t>
            </w:r>
            <w:r w:rsidRPr="003649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Beneficjent  powinien poinformować o zaistniałej sytuacji samorząd województwa. Samorząd Województwa Małopolskiego nie będzie negował decyzji podjętych przez inny organ odpowiedzialny merytorycznie za wydanie opinii w tym zakresie. </w:t>
            </w:r>
          </w:p>
          <w:p w14:paraId="7B0EA374" w14:textId="77777777" w:rsidR="008E0592" w:rsidRDefault="008E0592"/>
        </w:tc>
      </w:tr>
      <w:tr w:rsidR="008E0592" w14:paraId="79C44B34" w14:textId="77777777" w:rsidTr="00A47BD1">
        <w:tc>
          <w:tcPr>
            <w:tcW w:w="797" w:type="dxa"/>
          </w:tcPr>
          <w:p w14:paraId="02538D68" w14:textId="59DFF687" w:rsidR="008E0592" w:rsidRDefault="008E0592" w:rsidP="00A47BD1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5874" w:type="dxa"/>
          </w:tcPr>
          <w:p w14:paraId="0B1AE9F2" w14:textId="77777777" w:rsidR="00CE5486" w:rsidRPr="000F0035" w:rsidRDefault="00CE5486" w:rsidP="000F0035">
            <w:pPr>
              <w:rPr>
                <w:u w:val="single"/>
              </w:rPr>
            </w:pPr>
            <w:r w:rsidRPr="000F0035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PREMIA</w:t>
            </w:r>
          </w:p>
          <w:p w14:paraId="5A64930A" w14:textId="1F484036" w:rsidR="008E0592" w:rsidRDefault="00CE5486" w:rsidP="00CE5486">
            <w:pPr>
              <w:pStyle w:val="Akapitzlist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</w:t>
            </w:r>
            <w:r w:rsidRPr="00CE54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zy jest możliwe zawieszanie działalności gospodarczej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7612" w:type="dxa"/>
          </w:tcPr>
          <w:p w14:paraId="5F69D2AE" w14:textId="7CE245B9" w:rsidR="008E0592" w:rsidRPr="009501E7" w:rsidRDefault="00CE5486" w:rsidP="009501E7">
            <w:pPr>
              <w:pStyle w:val="Akapitzli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49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Tak. Zgodnie z pismem otrzymanym od Ministerstwa Rolnictwa i Rozwoju  Wsi z dnia 5 maja 2020 roku w przypadku skorzystania z prawa do zawieszania działalności gospodarczej w ramach operacji związanych z działalnością gospodarczą, czy to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  <w:r w:rsidRPr="003649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w trakcie realizacji operacji, czy to w okresie związania z celem zobowiązanie umowne również nie ulegnie wydłużeniu. </w:t>
            </w:r>
          </w:p>
        </w:tc>
      </w:tr>
      <w:tr w:rsidR="00CE5486" w14:paraId="06152E40" w14:textId="77777777" w:rsidTr="00A47BD1">
        <w:tc>
          <w:tcPr>
            <w:tcW w:w="797" w:type="dxa"/>
          </w:tcPr>
          <w:p w14:paraId="0E951D4B" w14:textId="6CB54129" w:rsidR="00CE5486" w:rsidRDefault="00CE5486" w:rsidP="00A47BD1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5874" w:type="dxa"/>
          </w:tcPr>
          <w:p w14:paraId="079F3208" w14:textId="77777777" w:rsidR="008D1957" w:rsidRPr="000F0035" w:rsidRDefault="008D1957" w:rsidP="000F0035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  <w:r w:rsidRPr="000F0035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PREMIA</w:t>
            </w:r>
          </w:p>
          <w:p w14:paraId="09918CD5" w14:textId="51EC48FF" w:rsidR="00CE5486" w:rsidRDefault="008D1957" w:rsidP="008D1957">
            <w:pPr>
              <w:pStyle w:val="Akapitzlis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C</w:t>
            </w:r>
            <w:r w:rsidRPr="003649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zy w obecnej sytuacji beneficjenci będą ponosić konsekwencje za niezrealizowanie co najmniej 30% wartości określonych w biznesplanie?</w:t>
            </w:r>
          </w:p>
        </w:tc>
        <w:tc>
          <w:tcPr>
            <w:tcW w:w="7612" w:type="dxa"/>
          </w:tcPr>
          <w:p w14:paraId="2FD47EE7" w14:textId="18805BF9" w:rsidR="00CE5486" w:rsidRPr="008D1957" w:rsidRDefault="008D1957" w:rsidP="008D1957">
            <w:pPr>
              <w:pStyle w:val="Akapitzli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49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Aktualnie zobowiązanie umowne w zakresie 30% ilości lub wartości wykonanych usług  jest weryfikowane przez Samorząd Województwa Małopolskiego zgodnie z obowiązującymi przepisami. Czyli za </w:t>
            </w:r>
            <w:r w:rsidRPr="003649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niewykonanie tegoż zobowiązania beneficjentowi grozi wypowiedzenie zawartej z SW umowy o przyznaniu pomocy. Oczywiście beneficjent może skorzystać z zapisów par. 14 umowy dot. siły wyższej, jednakże składając wniosek będzie musiał udokumentować że stan epidemii uniemożliwił mu w ciągu roku od dnia wypłaty pomocy  zreal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izowanie zobowiązania</w:t>
            </w:r>
            <w:r w:rsidRPr="003649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umowne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go</w:t>
            </w:r>
            <w:r w:rsidRPr="003649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Zwolnienie ze zobowiązania lub czasowe jego zwolnienie ze zobowiązania będzie zależało również od rodzaju działalności, jaką wykonuje. Po wejściu w życie rozporządzenia wykonawczego, które jest w fazie projektowania przez IZ (mówimy tutaj o 1 m-cu lub 1,5 m-ca) prawdopodobnie zobowiązanie to dla beneficjentów zostanie uchylone, ale do tego momentu wiążące są obecnie obowiązujące przepisy prawa.</w:t>
            </w:r>
          </w:p>
        </w:tc>
      </w:tr>
      <w:tr w:rsidR="00CE5486" w14:paraId="399E482E" w14:textId="77777777" w:rsidTr="00A47BD1">
        <w:tc>
          <w:tcPr>
            <w:tcW w:w="797" w:type="dxa"/>
          </w:tcPr>
          <w:p w14:paraId="10BC6285" w14:textId="3247746F" w:rsidR="00CE5486" w:rsidRDefault="00CE5486" w:rsidP="00A47BD1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5874" w:type="dxa"/>
          </w:tcPr>
          <w:p w14:paraId="3536BF48" w14:textId="77777777" w:rsidR="00CE5486" w:rsidRPr="000F0035" w:rsidRDefault="008D1957" w:rsidP="000F0035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  <w:r w:rsidRPr="000F0035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ROZWÓJ</w:t>
            </w:r>
          </w:p>
          <w:p w14:paraId="261C33A0" w14:textId="2B6D4EDB" w:rsidR="008D1957" w:rsidRPr="008D1957" w:rsidRDefault="008D1957" w:rsidP="008D1957">
            <w:pPr>
              <w:pStyle w:val="Akapitzlist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</w:t>
            </w:r>
            <w:r w:rsidRPr="003649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zy Beneficjenci którym w znacznym stopniu spadły przychody będą mogli zwolnić pracownika zatrudnionego w ramach projektu? Czy tacy beneficjenci będą mogli być zwolnieni z obowiązku utrzymania istniejących miejsc pracy zadeklarowanych podczas składania WOD?</w:t>
            </w:r>
          </w:p>
        </w:tc>
        <w:tc>
          <w:tcPr>
            <w:tcW w:w="7612" w:type="dxa"/>
          </w:tcPr>
          <w:p w14:paraId="22F55A84" w14:textId="51F34671" w:rsidR="00CE5486" w:rsidRPr="009501E7" w:rsidRDefault="008D1957" w:rsidP="009501E7">
            <w:pPr>
              <w:pStyle w:val="Akapitzli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49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W takiej sytuacji beneficjent zgodnie z par. 16 może wystąpić do Samorządu Województwa Małopolskiego z wnioskiem o  czasowe zwolnienie ze zobowiązania argumentując to aktualną sytuacją, w jakiej znalazła się działalność gospodarcza prowadzona przez beneficjenta.  Wniosek powinien mieć odwołanie do rozporządzeń wykonawczych, które wstrzymują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działalność </w:t>
            </w:r>
            <w:r w:rsidRPr="003649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niektórych przedsiębiorstw lub przedstawić dokumenty obrazujące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3649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jak stan epidemii wpłynął negatywnie na sytuację finansową firmy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3649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np. obrót ze stycznia lub lutego w porównaniu z obrotem firmy  w miesiącu marcu, kwietniu lub maju.  Każdorazowo wniosek taki będzie podlegał weryfikacji prze Radcę prawnego UMWM. </w:t>
            </w:r>
          </w:p>
        </w:tc>
      </w:tr>
      <w:tr w:rsidR="00CE5486" w14:paraId="65CAFEFA" w14:textId="77777777" w:rsidTr="00A47BD1">
        <w:tc>
          <w:tcPr>
            <w:tcW w:w="797" w:type="dxa"/>
          </w:tcPr>
          <w:p w14:paraId="41CAFE3C" w14:textId="3831E249" w:rsidR="00CE5486" w:rsidRDefault="00CE5486" w:rsidP="00A47BD1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5874" w:type="dxa"/>
          </w:tcPr>
          <w:p w14:paraId="6055FCA7" w14:textId="77777777" w:rsidR="008D1957" w:rsidRPr="000F0035" w:rsidRDefault="008D1957" w:rsidP="000F0035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  <w:r w:rsidRPr="000F0035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ROZWÓJ</w:t>
            </w:r>
          </w:p>
          <w:p w14:paraId="23881971" w14:textId="4196C36D" w:rsidR="00CE5486" w:rsidRDefault="008D1957" w:rsidP="008D1957">
            <w:pPr>
              <w:pStyle w:val="Akapitzlis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C</w:t>
            </w:r>
            <w:r w:rsidRPr="003649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zy w obecnej sytuacji beneficjenci będą ponosić konsekwencje za niezrealizowanie co najmniej 30% wartości określonych w biznesplanie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7612" w:type="dxa"/>
          </w:tcPr>
          <w:p w14:paraId="3744CF21" w14:textId="66BDDACF" w:rsidR="00CE5486" w:rsidRPr="008D1957" w:rsidRDefault="008D1957" w:rsidP="008D1957">
            <w:pPr>
              <w:pStyle w:val="Akapitzli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49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Aktualnie zobowiązanie umowne w zakresie 30% ilości lub wartości wykonanych usług  jest weryfikowane przez Samorząd Województwa Małopolskiego zgodnie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</w:r>
            <w:r w:rsidRPr="003649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z obowiązującymi przepisami. Czyli za niewykonanie tegoż zobowiązania beneficjentowi grozi wypowiedzenie zawartej z SW umowy o przyznaniu pomocy. Oczywiście beneficjent może skorzystać z zapisów par. 16 umowy dot. siły wyższej, jednakże składając wniosek będzie musiał udokumentować, że stan epidemii uniemożliwił mu w ciągu roku od dnia wypłaty pomocy  zrealizować zobowiązanie umowne.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Zwolnienie ze zobowiązania lub czasowe jego zwolnienie z zobowiązania  będzie zależało również od rodzaju działalności jaką wykonuje. Po wejściu w życie rozporządzenia wykonawczego, które jest w fazie projektowania przez IZ ( mówimy tutaj o 1 m-cu lub 1,5 m-ca) prawdopodobnie zobowiązanie to dla beneficjentów zostanie uchylone, ale do tego momentu obowiązują nas obecnie obowiązujące przepisy prawa. </w:t>
            </w:r>
          </w:p>
        </w:tc>
      </w:tr>
      <w:tr w:rsidR="000F0035" w14:paraId="7616A94A" w14:textId="77777777" w:rsidTr="00A47BD1">
        <w:tc>
          <w:tcPr>
            <w:tcW w:w="797" w:type="dxa"/>
          </w:tcPr>
          <w:p w14:paraId="78B2523F" w14:textId="7661F3D0" w:rsidR="000F0035" w:rsidRDefault="000F0035" w:rsidP="00A47BD1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5874" w:type="dxa"/>
          </w:tcPr>
          <w:p w14:paraId="5575CE6C" w14:textId="77777777" w:rsidR="000F0035" w:rsidRPr="000F0035" w:rsidRDefault="000F0035" w:rsidP="000F0035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  <w:r w:rsidRPr="000F0035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ROZWÓJ</w:t>
            </w:r>
          </w:p>
          <w:p w14:paraId="5FA03B9A" w14:textId="336DC74B" w:rsidR="000F0035" w:rsidRDefault="000F0035" w:rsidP="000F0035">
            <w:pPr>
              <w:pStyle w:val="Akapitzli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Beneficjentka skorzystała</w:t>
            </w:r>
            <w:r w:rsidRPr="004F18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z dofinansowania na założenie działalności gospodarczej w ramach poddziałania 19.2 „Wsparcie na wdrażanie operacji w ramach strategii rozwoju lokalnego kierowanego przez społeczność” objętego Programem Rozwoju Obszarów Wiejskich na lata 2014–2020 i we wrześniu 2018 roku podpisał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</w:t>
            </w:r>
            <w:r w:rsidRPr="004F18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umowę i za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łożyła </w:t>
            </w:r>
            <w:r w:rsidRPr="004F18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działalność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?</w:t>
            </w:r>
          </w:p>
          <w:p w14:paraId="6C0A311F" w14:textId="2361DAEB" w:rsidR="000F0035" w:rsidRPr="009501E7" w:rsidRDefault="000F0035" w:rsidP="009501E7">
            <w:pPr>
              <w:pStyle w:val="Akapitzli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F18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W lipcu 2019 otrzymałam ostatnią transzę. Końcem września 2019 urodziłam dziecko i aktualnie przebywam na urlopie macierzyńskim. Będąc w zaawansowanej ciąży zatrudniłam pracownika, ponieważ będąc na chorobowym i później na </w:t>
            </w:r>
            <w:r w:rsidRPr="004F18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urlopie macierzyńskim, zgodnie z umową dofinansowania mam obowiązek płacenia składek. Chciałabym uzyskać odpowiedź na pytanie, czy w obecnej sytuacji mogę zwolnić pracownika nie tracąc dofinansowania? Moja firma to działalność fotograficzna i od połowy marca straciłam wszystkie zlecenia. Dodatkowo część zleceń zarezerwowanych z wyprzedzeniem takich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4F189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jak reportaże ślubne i inne imprezy okolicznościowe zostały przeniesione na odległe terminy lub odwołane. W tej chwili nie mam przychodu i nie wiadomo kiedy sytuacja wróci do normy. Z tego powodu nie mam środków na wypłatę dla pracownika. Dodam, że oprócz własnej działalności byłam również zatrudniona u innego pracodawcy (miałam wrócić do pracy po macierzyńskim) lecz w marcu rozwiązaliśmy umowę, ponieważ zawiesił on swoją działalność i tym samym straciłam kolejne źródło utrzymania. Proszę o informację czy zostały już przez Urząd opracowane rozwiązania w takiej sytuacji jak moja. Jeżeli nie - proszę o informacje w jaki sposób mogę ubiegać się o zmianę zapisu w umowie o dofinansowanie, dzięki któremu będę mogła zwolnić pracownika bez tracenia dofinansowania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612" w:type="dxa"/>
          </w:tcPr>
          <w:p w14:paraId="58715A77" w14:textId="77777777" w:rsidR="000F0035" w:rsidRDefault="000F0035" w:rsidP="000F0035">
            <w:pPr>
              <w:pStyle w:val="Akapitzli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649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W takiej sytuacji beneficjent zgodnie z par. 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Pr="003649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może wystąpić do Samorządu Województwa Małopolskiego z wnioskiem o  czasowe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lub całkowite</w:t>
            </w:r>
            <w:r w:rsidRPr="003649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zwolnienie ze zobowiązania argumentując to aktualną sytuacją, w jakiej znalazła się działalność gospodarcza prowadzona przez beneficjenta.  Wniosek powinien mieć odwołanie do rozporządzeń wykonawczych, które wstrzymują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działalność </w:t>
            </w:r>
            <w:r w:rsidRPr="003649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niektórych przedsiębiorstw lub przedstawić dokumenty obrazujące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3649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jak stan epidemii wpłynął negatywnie na sytuację finansową firmy np. obrót ze stycznia lub lutego w porównaniu z obrotem firmy  w miesiącu marcu, kwietniu lub maju.  Każdorazowo wniosek taki będzie podlegał weryfikacji prze Radcę prawnego UMWM.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Oczywiście beneficjent może również skorzystać z rozwiązań jakie daje mu tarcza antykryzysowa w zakresie utrzymania miejsca pracy. </w:t>
            </w:r>
          </w:p>
          <w:p w14:paraId="5E0B6460" w14:textId="77777777" w:rsidR="000F0035" w:rsidRPr="003649B8" w:rsidRDefault="000F0035" w:rsidP="008D1957">
            <w:pPr>
              <w:pStyle w:val="Akapitzli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0F0035" w14:paraId="67D49A02" w14:textId="77777777" w:rsidTr="00A47BD1">
        <w:tc>
          <w:tcPr>
            <w:tcW w:w="797" w:type="dxa"/>
          </w:tcPr>
          <w:p w14:paraId="11FAD9EA" w14:textId="75E87CA5" w:rsidR="000F0035" w:rsidRDefault="000F0035" w:rsidP="00A47BD1">
            <w:pPr>
              <w:pStyle w:val="Akapitzlist"/>
              <w:numPr>
                <w:ilvl w:val="0"/>
                <w:numId w:val="6"/>
              </w:numPr>
            </w:pPr>
          </w:p>
        </w:tc>
        <w:tc>
          <w:tcPr>
            <w:tcW w:w="5874" w:type="dxa"/>
          </w:tcPr>
          <w:p w14:paraId="58BA7276" w14:textId="65706A80" w:rsidR="00A47BD1" w:rsidRPr="00A47BD1" w:rsidRDefault="00A47BD1" w:rsidP="00A47BD1">
            <w:pPr>
              <w:pStyle w:val="Default"/>
              <w:spacing w:line="276" w:lineRule="auto"/>
              <w:jc w:val="both"/>
              <w:rPr>
                <w:bCs/>
                <w:u w:val="single"/>
              </w:rPr>
            </w:pPr>
            <w:r w:rsidRPr="00A47BD1">
              <w:rPr>
                <w:bCs/>
                <w:u w:val="single"/>
              </w:rPr>
              <w:t xml:space="preserve">PODPISANIE UMÓW O DOFINANSOWANIE </w:t>
            </w:r>
          </w:p>
          <w:p w14:paraId="5F86AC24" w14:textId="7179623B" w:rsidR="000F0035" w:rsidRPr="000F0035" w:rsidRDefault="000F0035" w:rsidP="00A47BD1">
            <w:pPr>
              <w:pStyle w:val="Default"/>
              <w:spacing w:line="276" w:lineRule="auto"/>
              <w:ind w:left="720"/>
              <w:jc w:val="both"/>
              <w:rPr>
                <w:bCs/>
              </w:rPr>
            </w:pPr>
            <w:r w:rsidRPr="000F0035">
              <w:rPr>
                <w:bCs/>
              </w:rPr>
              <w:lastRenderedPageBreak/>
              <w:t>W związku z licznymi pytaniami beneficjentów o termin zawarcia umów o przyznanie pomocy, dotycząca wniosków które zostały pozytywnie rozpatrzone w okresie</w:t>
            </w:r>
            <w:r w:rsidRPr="000F0035">
              <w:rPr>
                <w:bCs/>
              </w:rPr>
              <w:br/>
              <w:t>03-04.2020, zwracamy się z prośbą o informację w jakim terminie możliwe jest zawarcie umów które obecnie mają status „Umowa w przygotowaniu” ?</w:t>
            </w:r>
          </w:p>
        </w:tc>
        <w:tc>
          <w:tcPr>
            <w:tcW w:w="7612" w:type="dxa"/>
          </w:tcPr>
          <w:p w14:paraId="4C86BB84" w14:textId="1129B3BE" w:rsidR="000F0035" w:rsidRPr="000F0035" w:rsidRDefault="000F0035" w:rsidP="000F0035">
            <w:pPr>
              <w:pStyle w:val="Default"/>
              <w:spacing w:line="276" w:lineRule="auto"/>
              <w:ind w:left="708"/>
              <w:jc w:val="both"/>
              <w:rPr>
                <w:bCs/>
              </w:rPr>
            </w:pPr>
            <w:r>
              <w:rPr>
                <w:bCs/>
              </w:rPr>
              <w:lastRenderedPageBreak/>
              <w:t>Raz jeszcze wyjaśniamy, iż wzory umów, którymi dysponujemy są niezgodne</w:t>
            </w:r>
            <w:r>
              <w:rPr>
                <w:bCs/>
              </w:rPr>
              <w:br/>
            </w:r>
            <w:r>
              <w:rPr>
                <w:bCs/>
              </w:rPr>
              <w:lastRenderedPageBreak/>
              <w:t>z obowiązującymi przepisami. IZ PROW w piśmie z dnia 23 kwietnia br. potwierdziła, iż „…</w:t>
            </w:r>
            <w:r w:rsidRPr="00553572">
              <w:rPr>
                <w:bCs/>
              </w:rPr>
              <w:t xml:space="preserve">wdrożenie tej zmiany ustawy </w:t>
            </w:r>
            <w:r w:rsidRPr="00553572">
              <w:rPr>
                <w:b/>
                <w:bCs/>
                <w:u w:val="single"/>
              </w:rPr>
              <w:t>wymaga od ARiMR przygotowania</w:t>
            </w:r>
            <w:r w:rsidRPr="00553572">
              <w:rPr>
                <w:bCs/>
              </w:rPr>
              <w:t xml:space="preserve"> </w:t>
            </w:r>
            <w:r w:rsidRPr="00553572">
              <w:rPr>
                <w:b/>
                <w:bCs/>
                <w:u w:val="single"/>
              </w:rPr>
              <w:t>(we współpracy</w:t>
            </w:r>
            <w:r>
              <w:rPr>
                <w:b/>
                <w:bCs/>
                <w:u w:val="single"/>
              </w:rPr>
              <w:t xml:space="preserve"> </w:t>
            </w:r>
            <w:r w:rsidRPr="00553572">
              <w:rPr>
                <w:b/>
                <w:bCs/>
                <w:u w:val="single"/>
              </w:rPr>
              <w:t>z podmiotami wdrażającymi) nowych formularzy umów o przyznaniu pomocy lub przygotowania</w:t>
            </w:r>
            <w:r>
              <w:rPr>
                <w:b/>
                <w:bCs/>
                <w:u w:val="single"/>
              </w:rPr>
              <w:t xml:space="preserve"> </w:t>
            </w:r>
            <w:r w:rsidRPr="00553572">
              <w:rPr>
                <w:b/>
                <w:bCs/>
                <w:u w:val="single"/>
              </w:rPr>
              <w:t>uniwersalnego formularza zmiany umowy</w:t>
            </w:r>
            <w:r>
              <w:rPr>
                <w:b/>
                <w:bCs/>
                <w:u w:val="single"/>
              </w:rPr>
              <w:br/>
            </w:r>
            <w:r w:rsidRPr="00553572">
              <w:rPr>
                <w:b/>
                <w:bCs/>
                <w:u w:val="single"/>
              </w:rPr>
              <w:t>o przyznaniu pomocy</w:t>
            </w:r>
            <w:r>
              <w:rPr>
                <w:bCs/>
              </w:rPr>
              <w:t>…”. Niestety do chwili obecnej nie otrzymaliśmy ani nowych wzorów umów, ani wzoru uniwersalnego aneksu. Wg informacji uzyskanych z IZ PROW powinny być gotowe za około tydzień. Jak tylko je otrzymamy, zostaną państwo i beneficjenci o tym powiadomieni.</w:t>
            </w:r>
          </w:p>
        </w:tc>
      </w:tr>
    </w:tbl>
    <w:p w14:paraId="26914B3E" w14:textId="0EF6BD02" w:rsidR="00C72B41" w:rsidRDefault="00C72B41" w:rsidP="000F0035"/>
    <w:sectPr w:rsidR="00C72B41" w:rsidSect="008E0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D3231"/>
    <w:multiLevelType w:val="hybridMultilevel"/>
    <w:tmpl w:val="B2E6D7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6900D3"/>
    <w:multiLevelType w:val="hybridMultilevel"/>
    <w:tmpl w:val="5BB21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5D355F"/>
    <w:multiLevelType w:val="hybridMultilevel"/>
    <w:tmpl w:val="81586A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A72AC"/>
    <w:multiLevelType w:val="hybridMultilevel"/>
    <w:tmpl w:val="08C0F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D471B"/>
    <w:multiLevelType w:val="hybridMultilevel"/>
    <w:tmpl w:val="08C0F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F696E"/>
    <w:multiLevelType w:val="hybridMultilevel"/>
    <w:tmpl w:val="E6029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C2"/>
    <w:rsid w:val="000F0035"/>
    <w:rsid w:val="00410E72"/>
    <w:rsid w:val="006D1868"/>
    <w:rsid w:val="008D1957"/>
    <w:rsid w:val="008E0592"/>
    <w:rsid w:val="009501E7"/>
    <w:rsid w:val="00A47BD1"/>
    <w:rsid w:val="00C72B41"/>
    <w:rsid w:val="00CD564C"/>
    <w:rsid w:val="00CE5486"/>
    <w:rsid w:val="00FF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64940"/>
  <w15:chartTrackingRefBased/>
  <w15:docId w15:val="{1FAE91E1-480F-4BC0-ABF2-47B94A6B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05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E05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E059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E548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Default">
    <w:name w:val="Default"/>
    <w:rsid w:val="000F00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ow.malopolska.pl/wiadomosci/komunikat-dotyczacy-trybu-konkurecyjnego-w-ramach-prow-2014-2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1699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6</cp:revision>
  <dcterms:created xsi:type="dcterms:W3CDTF">2020-05-11T07:47:00Z</dcterms:created>
  <dcterms:modified xsi:type="dcterms:W3CDTF">2020-05-11T10:17:00Z</dcterms:modified>
</cp:coreProperties>
</file>