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9F1" w:rsidRPr="00531DE6" w:rsidRDefault="006D49F1" w:rsidP="006D49F1">
      <w:pPr>
        <w:spacing w:after="0"/>
        <w:jc w:val="center"/>
        <w:rPr>
          <w:rFonts w:ascii="Candara" w:eastAsiaTheme="minorEastAsia" w:hAnsi="Candara"/>
          <w:b/>
          <w:lang w:eastAsia="pl-PL"/>
        </w:rPr>
      </w:pPr>
      <w:bookmarkStart w:id="0" w:name="_GoBack"/>
      <w:bookmarkEnd w:id="0"/>
    </w:p>
    <w:p w:rsidR="006D49F1" w:rsidRPr="00531DE6" w:rsidRDefault="006D49F1" w:rsidP="006D49F1">
      <w:pPr>
        <w:spacing w:after="0"/>
        <w:jc w:val="center"/>
        <w:rPr>
          <w:rFonts w:ascii="Candara" w:eastAsiaTheme="minorEastAsia" w:hAnsi="Candara"/>
          <w:b/>
          <w:lang w:eastAsia="pl-PL"/>
        </w:rPr>
      </w:pPr>
    </w:p>
    <w:p w:rsidR="006D49F1" w:rsidRPr="00531DE6" w:rsidRDefault="006D49F1" w:rsidP="006D49F1">
      <w:pPr>
        <w:spacing w:after="0"/>
        <w:jc w:val="center"/>
        <w:rPr>
          <w:rFonts w:ascii="Candara" w:eastAsiaTheme="minorEastAsia" w:hAnsi="Candara"/>
          <w:b/>
          <w:lang w:eastAsia="pl-PL"/>
        </w:rPr>
      </w:pPr>
    </w:p>
    <w:p w:rsidR="006D49F1" w:rsidRPr="00531DE6" w:rsidRDefault="006D49F1" w:rsidP="006D49F1">
      <w:pPr>
        <w:spacing w:after="0"/>
        <w:jc w:val="center"/>
        <w:rPr>
          <w:rFonts w:ascii="Candara" w:eastAsiaTheme="minorEastAsia" w:hAnsi="Candara"/>
          <w:b/>
          <w:sz w:val="40"/>
          <w:lang w:eastAsia="pl-PL"/>
        </w:rPr>
      </w:pPr>
    </w:p>
    <w:p w:rsidR="006D49F1" w:rsidRPr="00531DE6" w:rsidRDefault="006D49F1" w:rsidP="006D49F1">
      <w:pPr>
        <w:spacing w:after="0"/>
        <w:jc w:val="center"/>
        <w:rPr>
          <w:rFonts w:ascii="Candara" w:eastAsiaTheme="minorEastAsia" w:hAnsi="Candara"/>
          <w:b/>
          <w:sz w:val="40"/>
          <w:lang w:eastAsia="pl-PL"/>
        </w:rPr>
      </w:pPr>
    </w:p>
    <w:p w:rsidR="006D49F1" w:rsidRPr="00531DE6" w:rsidRDefault="006D49F1" w:rsidP="006D49F1">
      <w:pPr>
        <w:spacing w:after="0"/>
        <w:jc w:val="center"/>
        <w:rPr>
          <w:rFonts w:ascii="Candara" w:eastAsiaTheme="minorEastAsia" w:hAnsi="Candara"/>
          <w:b/>
          <w:sz w:val="40"/>
          <w:lang w:eastAsia="pl-PL"/>
        </w:rPr>
      </w:pPr>
      <w:r w:rsidRPr="00531DE6">
        <w:rPr>
          <w:rFonts w:ascii="Candara" w:eastAsiaTheme="minorEastAsia" w:hAnsi="Candara"/>
          <w:b/>
          <w:sz w:val="40"/>
          <w:lang w:eastAsia="pl-PL"/>
        </w:rPr>
        <w:t>Zapis wyników prac z warsztatu strategicznego</w:t>
      </w:r>
    </w:p>
    <w:p w:rsidR="006D49F1" w:rsidRPr="00531DE6" w:rsidRDefault="006D49F1" w:rsidP="006D49F1">
      <w:pPr>
        <w:spacing w:after="0"/>
        <w:jc w:val="center"/>
        <w:rPr>
          <w:rFonts w:ascii="Candara" w:eastAsiaTheme="minorEastAsia" w:hAnsi="Candara"/>
          <w:b/>
          <w:sz w:val="40"/>
          <w:lang w:eastAsia="pl-PL"/>
        </w:rPr>
      </w:pPr>
      <w:r w:rsidRPr="00531DE6">
        <w:rPr>
          <w:rFonts w:ascii="Candara" w:eastAsiaTheme="minorEastAsia" w:hAnsi="Candara"/>
          <w:b/>
          <w:sz w:val="40"/>
          <w:lang w:eastAsia="pl-PL"/>
        </w:rPr>
        <w:t>w ramach prac nad</w:t>
      </w:r>
    </w:p>
    <w:p w:rsidR="006D49F1" w:rsidRPr="00531DE6" w:rsidRDefault="006D49F1" w:rsidP="006D49F1">
      <w:pPr>
        <w:spacing w:after="0"/>
        <w:jc w:val="center"/>
        <w:rPr>
          <w:rFonts w:ascii="Candara" w:eastAsiaTheme="minorEastAsia" w:hAnsi="Candara"/>
          <w:b/>
          <w:sz w:val="40"/>
          <w:lang w:eastAsia="pl-PL"/>
        </w:rPr>
      </w:pPr>
    </w:p>
    <w:p w:rsidR="006D49F1" w:rsidRPr="00531DE6" w:rsidRDefault="006D49F1" w:rsidP="006D49F1">
      <w:pPr>
        <w:spacing w:after="0"/>
        <w:jc w:val="center"/>
        <w:rPr>
          <w:rFonts w:ascii="Candara" w:eastAsiaTheme="minorEastAsia" w:hAnsi="Candara"/>
          <w:i/>
          <w:sz w:val="40"/>
          <w:u w:val="single"/>
          <w:lang w:eastAsia="pl-PL"/>
        </w:rPr>
      </w:pPr>
      <w:r w:rsidRPr="00531DE6">
        <w:rPr>
          <w:rFonts w:ascii="Candara" w:eastAsiaTheme="minorEastAsia" w:hAnsi="Candara"/>
          <w:b/>
          <w:sz w:val="40"/>
          <w:u w:val="single"/>
          <w:lang w:eastAsia="pl-PL"/>
        </w:rPr>
        <w:t xml:space="preserve"> „Lokalną Strategią Rozwoju dla </w:t>
      </w:r>
      <w:r w:rsidRPr="00531DE6">
        <w:rPr>
          <w:rFonts w:ascii="Candara" w:eastAsiaTheme="minorEastAsia" w:hAnsi="Candara"/>
          <w:b/>
          <w:bCs/>
          <w:sz w:val="40"/>
          <w:u w:val="single"/>
          <w:lang w:eastAsia="pl-PL"/>
        </w:rPr>
        <w:t>LGD Korona Sądecka</w:t>
      </w:r>
      <w:r w:rsidRPr="00531DE6">
        <w:rPr>
          <w:rFonts w:ascii="Candara" w:eastAsiaTheme="minorEastAsia" w:hAnsi="Candara"/>
          <w:b/>
          <w:sz w:val="40"/>
          <w:u w:val="single"/>
          <w:lang w:eastAsia="pl-PL"/>
        </w:rPr>
        <w:t>”</w:t>
      </w:r>
    </w:p>
    <w:p w:rsidR="006D49F1" w:rsidRPr="00531DE6" w:rsidRDefault="006D49F1" w:rsidP="006D49F1">
      <w:pPr>
        <w:jc w:val="center"/>
        <w:rPr>
          <w:rFonts w:ascii="Candara" w:eastAsiaTheme="minorEastAsia" w:hAnsi="Candara"/>
          <w:i/>
          <w:sz w:val="40"/>
          <w:lang w:eastAsia="pl-PL"/>
        </w:rPr>
      </w:pPr>
    </w:p>
    <w:p w:rsidR="00531DE6" w:rsidRPr="00531DE6" w:rsidRDefault="00531DE6" w:rsidP="006D49F1">
      <w:pPr>
        <w:jc w:val="center"/>
        <w:rPr>
          <w:rFonts w:ascii="Candara" w:eastAsiaTheme="minorEastAsia" w:hAnsi="Candara"/>
          <w:i/>
          <w:sz w:val="40"/>
          <w:lang w:eastAsia="pl-PL"/>
        </w:rPr>
      </w:pPr>
    </w:p>
    <w:p w:rsidR="00531DE6" w:rsidRPr="00531DE6" w:rsidRDefault="00531DE6" w:rsidP="006D49F1">
      <w:pPr>
        <w:jc w:val="center"/>
        <w:rPr>
          <w:rFonts w:ascii="Candara" w:eastAsiaTheme="minorEastAsia" w:hAnsi="Candara"/>
          <w:i/>
          <w:sz w:val="32"/>
          <w:lang w:eastAsia="pl-PL"/>
        </w:rPr>
      </w:pPr>
    </w:p>
    <w:p w:rsidR="006D49F1" w:rsidRPr="00531DE6" w:rsidRDefault="006D49F1" w:rsidP="006D49F1">
      <w:pPr>
        <w:jc w:val="center"/>
        <w:rPr>
          <w:rFonts w:ascii="Candara" w:eastAsiaTheme="minorEastAsia" w:hAnsi="Candara"/>
          <w:sz w:val="32"/>
          <w:lang w:eastAsia="pl-PL"/>
        </w:rPr>
      </w:pPr>
      <w:r w:rsidRPr="00531DE6">
        <w:rPr>
          <w:rFonts w:ascii="Candara" w:eastAsiaTheme="minorEastAsia" w:hAnsi="Candara"/>
          <w:sz w:val="32"/>
          <w:lang w:eastAsia="pl-PL"/>
        </w:rPr>
        <w:t xml:space="preserve">Materiał </w:t>
      </w:r>
      <w:proofErr w:type="spellStart"/>
      <w:r w:rsidRPr="00531DE6">
        <w:rPr>
          <w:rFonts w:ascii="Candara" w:eastAsiaTheme="minorEastAsia" w:hAnsi="Candara"/>
          <w:sz w:val="32"/>
          <w:lang w:eastAsia="pl-PL"/>
        </w:rPr>
        <w:t>powarsztatowy</w:t>
      </w:r>
      <w:proofErr w:type="spellEnd"/>
      <w:r w:rsidRPr="00531DE6">
        <w:rPr>
          <w:rFonts w:ascii="Candara" w:eastAsiaTheme="minorEastAsia" w:hAnsi="Candara"/>
          <w:sz w:val="32"/>
          <w:lang w:eastAsia="pl-PL"/>
        </w:rPr>
        <w:t xml:space="preserve"> roboczy</w:t>
      </w: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531DE6" w:rsidRPr="00531DE6" w:rsidRDefault="00531DE6" w:rsidP="006D49F1">
      <w:pPr>
        <w:jc w:val="center"/>
        <w:rPr>
          <w:rFonts w:ascii="Candara" w:eastAsiaTheme="minorEastAsia" w:hAnsi="Candara"/>
          <w:b/>
          <w:lang w:eastAsia="pl-PL"/>
        </w:rPr>
      </w:pPr>
    </w:p>
    <w:p w:rsidR="00531DE6" w:rsidRPr="00531DE6" w:rsidRDefault="00531DE6" w:rsidP="006D49F1">
      <w:pPr>
        <w:jc w:val="center"/>
        <w:rPr>
          <w:rFonts w:ascii="Candara" w:eastAsiaTheme="minorEastAsia" w:hAnsi="Candara"/>
          <w:b/>
          <w:lang w:eastAsia="pl-PL"/>
        </w:rPr>
      </w:pPr>
    </w:p>
    <w:p w:rsidR="00531DE6" w:rsidRPr="00531DE6" w:rsidRDefault="00531DE6"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b/>
          <w:lang w:eastAsia="pl-PL"/>
        </w:rPr>
      </w:pPr>
    </w:p>
    <w:p w:rsidR="006D49F1" w:rsidRPr="00531DE6" w:rsidRDefault="006D49F1" w:rsidP="006D49F1">
      <w:pPr>
        <w:jc w:val="center"/>
        <w:rPr>
          <w:rFonts w:ascii="Candara" w:eastAsiaTheme="minorEastAsia" w:hAnsi="Candara"/>
          <w:lang w:eastAsia="pl-PL"/>
        </w:rPr>
      </w:pPr>
      <w:r w:rsidRPr="00531DE6">
        <w:rPr>
          <w:rFonts w:ascii="Candara" w:eastAsiaTheme="minorEastAsia" w:hAnsi="Candara"/>
          <w:lang w:eastAsia="pl-PL"/>
        </w:rPr>
        <w:t>Chełmiec, sierpień 2015r.</w:t>
      </w:r>
      <w:r w:rsidRPr="00531DE6">
        <w:rPr>
          <w:rFonts w:ascii="Candara" w:eastAsiaTheme="minorEastAsia" w:hAnsi="Candara"/>
          <w:lang w:eastAsia="pl-PL"/>
        </w:rPr>
        <w:br w:type="page"/>
      </w:r>
    </w:p>
    <w:p w:rsidR="006D49F1" w:rsidRPr="00531DE6" w:rsidRDefault="006D49F1" w:rsidP="006D49F1">
      <w:pPr>
        <w:jc w:val="both"/>
        <w:rPr>
          <w:rFonts w:ascii="Candara" w:eastAsiaTheme="minorEastAsia" w:hAnsi="Candara"/>
          <w:b/>
          <w:color w:val="4F81BD"/>
          <w:lang w:eastAsia="pl-PL"/>
        </w:rPr>
      </w:pPr>
      <w:r w:rsidRPr="00531DE6">
        <w:rPr>
          <w:rFonts w:ascii="Candara" w:eastAsiaTheme="minorEastAsia" w:hAnsi="Candara"/>
          <w:b/>
          <w:color w:val="4F81BD"/>
          <w:lang w:eastAsia="pl-PL"/>
        </w:rPr>
        <w:lastRenderedPageBreak/>
        <w:t>Wstęp</w:t>
      </w:r>
    </w:p>
    <w:p w:rsidR="006D49F1" w:rsidRPr="00531DE6" w:rsidRDefault="006D49F1" w:rsidP="006D49F1">
      <w:pPr>
        <w:spacing w:after="120"/>
        <w:jc w:val="both"/>
        <w:rPr>
          <w:rFonts w:ascii="Candara" w:eastAsiaTheme="minorEastAsia" w:hAnsi="Candara"/>
          <w:lang w:eastAsia="pl-PL"/>
        </w:rPr>
      </w:pPr>
      <w:r w:rsidRPr="00531DE6">
        <w:rPr>
          <w:rFonts w:ascii="Candara" w:eastAsiaTheme="minorEastAsia" w:hAnsi="Candara"/>
          <w:lang w:eastAsia="pl-PL"/>
        </w:rPr>
        <w:t>Niniejszy materiał jest roboczym zapisem wyników prac uczestników pierwszego spotkania warsztatowego w ramach prac nad „Lokalną Strategią Rozwoju dla LGD Korona Sądecka”.</w:t>
      </w:r>
    </w:p>
    <w:p w:rsidR="006D49F1" w:rsidRPr="00531DE6" w:rsidRDefault="006D49F1" w:rsidP="006D49F1">
      <w:pPr>
        <w:spacing w:after="120"/>
        <w:jc w:val="both"/>
        <w:rPr>
          <w:rFonts w:ascii="Candara" w:eastAsiaTheme="minorEastAsia" w:hAnsi="Candara"/>
          <w:lang w:eastAsia="pl-PL"/>
        </w:rPr>
      </w:pPr>
      <w:r w:rsidRPr="00531DE6">
        <w:rPr>
          <w:rFonts w:ascii="Candara" w:eastAsiaTheme="minorEastAsia" w:hAnsi="Candara"/>
          <w:lang w:eastAsia="pl-PL"/>
        </w:rPr>
        <w:t>Spotkanie to miało miejsce 26 sierpnia 2015 r. w siedzibie w Urzędzie Gminy w Chełmiec i</w:t>
      </w:r>
      <w:r w:rsidR="00500543" w:rsidRPr="00531DE6">
        <w:rPr>
          <w:rFonts w:ascii="Candara" w:eastAsiaTheme="minorEastAsia" w:hAnsi="Candara"/>
          <w:lang w:eastAsia="pl-PL"/>
        </w:rPr>
        <w:t> </w:t>
      </w:r>
      <w:r w:rsidRPr="00531DE6">
        <w:rPr>
          <w:rFonts w:ascii="Candara" w:eastAsiaTheme="minorEastAsia" w:hAnsi="Candara"/>
          <w:lang w:eastAsia="pl-PL"/>
        </w:rPr>
        <w:t>zgromadziło przedstawicieli jednostek samorządu terytorialnego, instytucji publicznych i</w:t>
      </w:r>
      <w:r w:rsidR="00500543" w:rsidRPr="00531DE6">
        <w:rPr>
          <w:rFonts w:ascii="Candara" w:eastAsiaTheme="minorEastAsia" w:hAnsi="Candara"/>
          <w:lang w:eastAsia="pl-PL"/>
        </w:rPr>
        <w:t> </w:t>
      </w:r>
      <w:r w:rsidRPr="00531DE6">
        <w:rPr>
          <w:rFonts w:ascii="Candara" w:eastAsiaTheme="minorEastAsia" w:hAnsi="Candara"/>
          <w:lang w:eastAsia="pl-PL"/>
        </w:rPr>
        <w:t>organizacji pozarządowych, przedsiębiorców i mieszkańców z terenu LGD Korona Sądecka. Łącznie w spotkaniu udział wzięło 21 osób zaangażowanych w debatę na temat rozwoju obszaru LGD Korona Sądecka.</w:t>
      </w:r>
    </w:p>
    <w:p w:rsidR="006D49F1" w:rsidRPr="00531DE6" w:rsidRDefault="006D49F1" w:rsidP="006D49F1">
      <w:pPr>
        <w:spacing w:after="120"/>
        <w:jc w:val="both"/>
        <w:rPr>
          <w:rFonts w:ascii="Candara" w:eastAsiaTheme="minorEastAsia" w:hAnsi="Candara"/>
          <w:lang w:eastAsia="pl-PL"/>
        </w:rPr>
      </w:pPr>
      <w:r w:rsidRPr="00531DE6">
        <w:rPr>
          <w:rFonts w:ascii="Candara" w:eastAsiaTheme="minorEastAsia" w:hAnsi="Candara"/>
          <w:lang w:eastAsia="pl-PL"/>
        </w:rPr>
        <w:t xml:space="preserve">Proces prac nad dokumentem Strategii będzie obejmował szereg działań, w ramach których przeprowadzono już pakiet badań ankietowych, a odbędzie się jeszcze jeden warsztat strategiczny oraz spotkania konsultacyjne i debata obywatelska. Całość prac obejmująca zarówno prace warsztatowe, konsultacje społeczne, jak i prace eksperckie, zostanie zakończona w połowie </w:t>
      </w:r>
      <w:r w:rsidR="00850C4D" w:rsidRPr="00531DE6">
        <w:rPr>
          <w:rFonts w:ascii="Candara" w:eastAsiaTheme="minorEastAsia" w:hAnsi="Candara"/>
          <w:lang w:eastAsia="pl-PL"/>
        </w:rPr>
        <w:t>października 2015</w:t>
      </w:r>
      <w:r w:rsidRPr="00531DE6">
        <w:rPr>
          <w:rFonts w:ascii="Candara" w:eastAsiaTheme="minorEastAsia" w:hAnsi="Candara"/>
          <w:lang w:eastAsia="pl-PL"/>
        </w:rPr>
        <w:t xml:space="preserve"> r.</w:t>
      </w:r>
    </w:p>
    <w:p w:rsidR="006D49F1" w:rsidRPr="00531DE6" w:rsidRDefault="00850C4D" w:rsidP="00850C4D">
      <w:pPr>
        <w:rPr>
          <w:rFonts w:ascii="Candara" w:eastAsiaTheme="minorEastAsia" w:hAnsi="Candara"/>
          <w:lang w:eastAsia="pl-PL"/>
        </w:rPr>
      </w:pPr>
      <w:r w:rsidRPr="00531DE6">
        <w:rPr>
          <w:rFonts w:ascii="Candara" w:eastAsiaTheme="minorEastAsia" w:hAnsi="Candara"/>
          <w:noProof/>
          <w:lang w:eastAsia="pl-PL"/>
        </w:rPr>
        <w:drawing>
          <wp:anchor distT="0" distB="0" distL="114300" distR="114300" simplePos="0" relativeHeight="251658240" behindDoc="0" locked="0" layoutInCell="1" allowOverlap="1">
            <wp:simplePos x="0" y="0"/>
            <wp:positionH relativeFrom="margin">
              <wp:align>center</wp:align>
            </wp:positionH>
            <wp:positionV relativeFrom="paragraph">
              <wp:posOffset>1905</wp:posOffset>
            </wp:positionV>
            <wp:extent cx="6249600" cy="4345200"/>
            <wp:effectExtent l="0" t="0" r="0" b="0"/>
            <wp:wrapSquare wrapText="bothSides"/>
            <wp:docPr id="6181" name="Obraz 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9600" cy="4345200"/>
                    </a:xfrm>
                    <a:prstGeom prst="rect">
                      <a:avLst/>
                    </a:prstGeom>
                    <a:noFill/>
                  </pic:spPr>
                </pic:pic>
              </a:graphicData>
            </a:graphic>
            <wp14:sizeRelH relativeFrom="page">
              <wp14:pctWidth>0</wp14:pctWidth>
            </wp14:sizeRelH>
            <wp14:sizeRelV relativeFrom="page">
              <wp14:pctHeight>0</wp14:pctHeight>
            </wp14:sizeRelV>
          </wp:anchor>
        </w:drawing>
      </w:r>
    </w:p>
    <w:p w:rsidR="006D49F1" w:rsidRPr="00531DE6" w:rsidRDefault="006D49F1" w:rsidP="006D49F1">
      <w:pPr>
        <w:keepNext/>
        <w:keepLines/>
        <w:spacing w:after="0"/>
        <w:jc w:val="both"/>
        <w:rPr>
          <w:rFonts w:ascii="Candara" w:eastAsiaTheme="minorEastAsia" w:hAnsi="Candara"/>
          <w:lang w:eastAsia="pl-PL"/>
        </w:rPr>
      </w:pPr>
      <w:r w:rsidRPr="00531DE6">
        <w:rPr>
          <w:rFonts w:ascii="Candara" w:eastAsiaTheme="minorEastAsia" w:hAnsi="Candara"/>
          <w:lang w:eastAsia="pl-PL"/>
        </w:rPr>
        <w:t>Celem warsztatu było:</w:t>
      </w:r>
    </w:p>
    <w:p w:rsidR="00850C4D" w:rsidRPr="00531DE6" w:rsidRDefault="00850C4D" w:rsidP="00E453E4">
      <w:pPr>
        <w:pStyle w:val="Akapitzlist"/>
        <w:numPr>
          <w:ilvl w:val="0"/>
          <w:numId w:val="3"/>
        </w:numPr>
        <w:rPr>
          <w:rFonts w:ascii="Candara" w:hAnsi="Candara"/>
        </w:rPr>
      </w:pPr>
      <w:r w:rsidRPr="00531DE6">
        <w:rPr>
          <w:rFonts w:ascii="Candara" w:hAnsi="Candara"/>
        </w:rPr>
        <w:t>Zaprezentowanie i pogłębienie wybranych wyników z diagnozy społeczno-gospodarczej;</w:t>
      </w:r>
    </w:p>
    <w:p w:rsidR="00850C4D" w:rsidRPr="00531DE6" w:rsidRDefault="00850C4D" w:rsidP="00E453E4">
      <w:pPr>
        <w:pStyle w:val="Akapitzlist"/>
        <w:numPr>
          <w:ilvl w:val="0"/>
          <w:numId w:val="3"/>
        </w:numPr>
        <w:rPr>
          <w:rFonts w:ascii="Candara" w:hAnsi="Candara"/>
        </w:rPr>
      </w:pPr>
      <w:r w:rsidRPr="00531DE6">
        <w:rPr>
          <w:rFonts w:ascii="Candara" w:hAnsi="Candara"/>
        </w:rPr>
        <w:t xml:space="preserve">Wypracowanie czteroelementowej misji w modelu </w:t>
      </w:r>
      <w:proofErr w:type="spellStart"/>
      <w:r w:rsidRPr="00531DE6">
        <w:rPr>
          <w:rFonts w:ascii="Candara" w:hAnsi="Candara"/>
        </w:rPr>
        <w:t>Ashridge</w:t>
      </w:r>
      <w:proofErr w:type="spellEnd"/>
      <w:r w:rsidRPr="00531DE6">
        <w:rPr>
          <w:rFonts w:ascii="Candara" w:hAnsi="Candara"/>
        </w:rPr>
        <w:t>;</w:t>
      </w:r>
    </w:p>
    <w:p w:rsidR="00850C4D" w:rsidRPr="00531DE6" w:rsidRDefault="00850C4D" w:rsidP="00E453E4">
      <w:pPr>
        <w:pStyle w:val="Akapitzlist"/>
        <w:numPr>
          <w:ilvl w:val="0"/>
          <w:numId w:val="3"/>
        </w:numPr>
        <w:rPr>
          <w:rFonts w:ascii="Candara" w:hAnsi="Candara"/>
        </w:rPr>
      </w:pPr>
      <w:r w:rsidRPr="00531DE6">
        <w:rPr>
          <w:rFonts w:ascii="Candara" w:hAnsi="Candara"/>
        </w:rPr>
        <w:t>Prezentacja wybranych wyników badań wywołanych;</w:t>
      </w:r>
    </w:p>
    <w:p w:rsidR="00850C4D" w:rsidRPr="00531DE6" w:rsidRDefault="00850C4D" w:rsidP="00E453E4">
      <w:pPr>
        <w:pStyle w:val="Akapitzlist"/>
        <w:numPr>
          <w:ilvl w:val="0"/>
          <w:numId w:val="3"/>
        </w:numPr>
        <w:rPr>
          <w:rFonts w:ascii="Candara" w:hAnsi="Candara"/>
        </w:rPr>
      </w:pPr>
      <w:r w:rsidRPr="00531DE6">
        <w:rPr>
          <w:rFonts w:ascii="Candara" w:hAnsi="Candara"/>
        </w:rPr>
        <w:lastRenderedPageBreak/>
        <w:t>Identyfikacja kwestii kluczowych i kluczowych problemów dla domen strategicznego rozwoju.</w:t>
      </w:r>
    </w:p>
    <w:p w:rsidR="006D49F1" w:rsidRPr="00531DE6" w:rsidRDefault="006D49F1" w:rsidP="00850C4D">
      <w:pPr>
        <w:jc w:val="both"/>
        <w:rPr>
          <w:rFonts w:ascii="Candara" w:eastAsiaTheme="minorEastAsia" w:hAnsi="Candara"/>
          <w:lang w:eastAsia="pl-PL"/>
        </w:rPr>
      </w:pPr>
      <w:r w:rsidRPr="00531DE6">
        <w:rPr>
          <w:rFonts w:ascii="Candara" w:eastAsiaTheme="minorEastAsia" w:hAnsi="Candara"/>
          <w:lang w:eastAsia="pl-PL"/>
        </w:rPr>
        <w:t xml:space="preserve">W dalszej części materiału znajduje się zapis wyników pracy warsztatowej. </w:t>
      </w:r>
    </w:p>
    <w:p w:rsidR="006D49F1" w:rsidRPr="00531DE6" w:rsidRDefault="006D49F1" w:rsidP="006D49F1">
      <w:pPr>
        <w:jc w:val="both"/>
        <w:rPr>
          <w:rFonts w:ascii="Candara" w:eastAsiaTheme="minorEastAsia" w:hAnsi="Candara"/>
          <w:lang w:eastAsia="pl-PL"/>
        </w:rPr>
      </w:pPr>
      <w:r w:rsidRPr="00531DE6">
        <w:rPr>
          <w:rFonts w:ascii="Candara" w:eastAsiaTheme="minorEastAsia" w:hAnsi="Candara"/>
          <w:lang w:eastAsia="pl-PL"/>
        </w:rPr>
        <w:t xml:space="preserve">Należy pamiętać, iż niniejszy materiał ma </w:t>
      </w:r>
      <w:r w:rsidRPr="00531DE6">
        <w:rPr>
          <w:rFonts w:ascii="Candara" w:eastAsiaTheme="minorEastAsia" w:hAnsi="Candara"/>
          <w:u w:val="single"/>
          <w:lang w:eastAsia="pl-PL"/>
        </w:rPr>
        <w:t>charakter roboczy</w:t>
      </w:r>
      <w:r w:rsidRPr="00531DE6">
        <w:rPr>
          <w:rFonts w:ascii="Candara" w:eastAsiaTheme="minorEastAsia" w:hAnsi="Candara"/>
          <w:lang w:eastAsia="pl-PL"/>
        </w:rPr>
        <w:t xml:space="preserve">, a ujęte w nim zapisy i propozycje stanowią jedynie </w:t>
      </w:r>
      <w:r w:rsidRPr="00531DE6">
        <w:rPr>
          <w:rFonts w:ascii="Candara" w:eastAsiaTheme="minorEastAsia" w:hAnsi="Candara"/>
          <w:u w:val="single"/>
          <w:lang w:eastAsia="pl-PL"/>
        </w:rPr>
        <w:t xml:space="preserve">wstępny zarys </w:t>
      </w:r>
      <w:r w:rsidRPr="00531DE6">
        <w:rPr>
          <w:rFonts w:ascii="Candara" w:eastAsiaTheme="minorEastAsia" w:hAnsi="Candara"/>
          <w:lang w:eastAsia="pl-PL"/>
        </w:rPr>
        <w:t xml:space="preserve">i mogą (a nawet powinny) podlegać </w:t>
      </w:r>
      <w:r w:rsidRPr="00531DE6">
        <w:rPr>
          <w:rFonts w:ascii="Candara" w:eastAsiaTheme="minorEastAsia" w:hAnsi="Candara"/>
          <w:u w:val="single"/>
          <w:lang w:eastAsia="pl-PL"/>
        </w:rPr>
        <w:t>modyfikacjom</w:t>
      </w:r>
      <w:r w:rsidRPr="00531DE6">
        <w:rPr>
          <w:rFonts w:ascii="Candara" w:eastAsiaTheme="minorEastAsia" w:hAnsi="Candara"/>
          <w:lang w:eastAsia="pl-PL"/>
        </w:rPr>
        <w:t xml:space="preserve"> w oparciu refleksje i sugestie członków zespołu uczestniczącego w warsztatach przyszłościowych. </w:t>
      </w:r>
    </w:p>
    <w:p w:rsidR="006D49F1" w:rsidRPr="00531DE6" w:rsidRDefault="006D49F1" w:rsidP="006D49F1">
      <w:pPr>
        <w:keepNext/>
        <w:pageBreakBefore/>
        <w:jc w:val="both"/>
        <w:rPr>
          <w:rFonts w:ascii="Candara" w:hAnsi="Candara"/>
          <w:b/>
          <w:color w:val="4F81BD"/>
        </w:rPr>
      </w:pPr>
      <w:r w:rsidRPr="00531DE6">
        <w:rPr>
          <w:rFonts w:ascii="Candara" w:hAnsi="Candara"/>
          <w:b/>
          <w:color w:val="4F81BD"/>
        </w:rPr>
        <w:lastRenderedPageBreak/>
        <w:t>Misja rozwoju – wprowadzenie</w:t>
      </w:r>
    </w:p>
    <w:p w:rsidR="006D49F1" w:rsidRPr="00531DE6" w:rsidRDefault="006D49F1" w:rsidP="006D49F1">
      <w:pPr>
        <w:spacing w:after="0"/>
        <w:jc w:val="both"/>
        <w:rPr>
          <w:rFonts w:ascii="Candara" w:hAnsi="Candara"/>
        </w:rPr>
      </w:pPr>
      <w:r w:rsidRPr="00531DE6">
        <w:rPr>
          <w:rFonts w:ascii="Candara" w:hAnsi="Candara"/>
        </w:rPr>
        <w:t xml:space="preserve">Prace nad misją rozwoju </w:t>
      </w:r>
      <w:r w:rsidR="00850C4D" w:rsidRPr="00531DE6">
        <w:rPr>
          <w:rFonts w:ascii="Candara" w:hAnsi="Candara"/>
        </w:rPr>
        <w:t>LGD Korona Sądecka</w:t>
      </w:r>
      <w:r w:rsidRPr="00531DE6">
        <w:rPr>
          <w:rFonts w:ascii="Candara" w:hAnsi="Candara"/>
        </w:rPr>
        <w:t xml:space="preserve"> przeprowadzono w oparciu o </w:t>
      </w:r>
      <w:r w:rsidR="00850C4D" w:rsidRPr="00531DE6">
        <w:rPr>
          <w:rFonts w:ascii="Candara" w:hAnsi="Candara"/>
        </w:rPr>
        <w:t xml:space="preserve">zmodyfikowaną </w:t>
      </w:r>
      <w:r w:rsidRPr="00531DE6">
        <w:rPr>
          <w:rFonts w:ascii="Candara" w:hAnsi="Candara"/>
        </w:rPr>
        <w:t xml:space="preserve">koncepcję zaproponowaną przez Ośrodek Zarządzania Strategicznego </w:t>
      </w:r>
      <w:proofErr w:type="spellStart"/>
      <w:r w:rsidRPr="00531DE6">
        <w:rPr>
          <w:rFonts w:ascii="Candara" w:hAnsi="Candara"/>
        </w:rPr>
        <w:t>Ashridge</w:t>
      </w:r>
      <w:proofErr w:type="spellEnd"/>
      <w:r w:rsidRPr="00531DE6">
        <w:rPr>
          <w:rFonts w:ascii="Candara" w:hAnsi="Candara"/>
        </w:rPr>
        <w:t xml:space="preserve"> (tzw. model </w:t>
      </w:r>
      <w:proofErr w:type="spellStart"/>
      <w:r w:rsidRPr="00531DE6">
        <w:rPr>
          <w:rFonts w:ascii="Candara" w:hAnsi="Candara"/>
        </w:rPr>
        <w:t>Ashridge</w:t>
      </w:r>
      <w:proofErr w:type="spellEnd"/>
      <w:r w:rsidRPr="00531DE6">
        <w:rPr>
          <w:rFonts w:ascii="Candara" w:hAnsi="Candara"/>
        </w:rPr>
        <w:t>), według którego misja składa się z czterech poniższych elementów (Rysunek 2):</w:t>
      </w:r>
    </w:p>
    <w:p w:rsidR="006D49F1" w:rsidRPr="00531DE6" w:rsidRDefault="006D49F1" w:rsidP="006D49F1">
      <w:pPr>
        <w:numPr>
          <w:ilvl w:val="0"/>
          <w:numId w:val="1"/>
        </w:numPr>
        <w:spacing w:after="0"/>
        <w:ind w:left="714" w:hanging="357"/>
        <w:jc w:val="both"/>
        <w:rPr>
          <w:rFonts w:ascii="Candara" w:hAnsi="Candara"/>
        </w:rPr>
      </w:pPr>
      <w:r w:rsidRPr="00531DE6">
        <w:rPr>
          <w:rFonts w:ascii="Candara" w:hAnsi="Candara"/>
          <w:b/>
        </w:rPr>
        <w:t>cel</w:t>
      </w:r>
      <w:r w:rsidRPr="00531DE6">
        <w:rPr>
          <w:rFonts w:ascii="Candara" w:hAnsi="Candara"/>
        </w:rPr>
        <w:t xml:space="preserve"> – wskazanie </w:t>
      </w:r>
      <w:r w:rsidRPr="00531DE6">
        <w:rPr>
          <w:rFonts w:ascii="Candara" w:hAnsi="Candara"/>
          <w:iCs/>
        </w:rPr>
        <w:t xml:space="preserve">celu podstawowego, głównej </w:t>
      </w:r>
      <w:r w:rsidRPr="00531DE6">
        <w:rPr>
          <w:rFonts w:ascii="Candara" w:hAnsi="Candara"/>
        </w:rPr>
        <w:t xml:space="preserve"> aspiracji rozwojowej</w:t>
      </w:r>
      <w:r w:rsidRPr="00531DE6">
        <w:rPr>
          <w:rFonts w:ascii="Candara" w:hAnsi="Candara"/>
          <w:iCs/>
        </w:rPr>
        <w:t>;</w:t>
      </w:r>
    </w:p>
    <w:p w:rsidR="006D49F1" w:rsidRPr="00531DE6" w:rsidRDefault="006D49F1" w:rsidP="006D49F1">
      <w:pPr>
        <w:numPr>
          <w:ilvl w:val="0"/>
          <w:numId w:val="1"/>
        </w:numPr>
        <w:spacing w:after="0"/>
        <w:ind w:left="714" w:hanging="357"/>
        <w:jc w:val="both"/>
        <w:rPr>
          <w:rFonts w:ascii="Candara" w:hAnsi="Candara"/>
        </w:rPr>
      </w:pPr>
      <w:r w:rsidRPr="00531DE6">
        <w:rPr>
          <w:rFonts w:ascii="Candara" w:hAnsi="Candara"/>
          <w:b/>
        </w:rPr>
        <w:t xml:space="preserve">domeny strategicznego rozwoju </w:t>
      </w:r>
      <w:r w:rsidRPr="00531DE6">
        <w:rPr>
          <w:rFonts w:ascii="Candara" w:hAnsi="Candara"/>
        </w:rPr>
        <w:t>– określenie podstawowych domen działalności, obszarów rozwojowych;</w:t>
      </w:r>
    </w:p>
    <w:p w:rsidR="006D49F1" w:rsidRPr="00531DE6" w:rsidRDefault="006D49F1" w:rsidP="006D49F1">
      <w:pPr>
        <w:numPr>
          <w:ilvl w:val="0"/>
          <w:numId w:val="1"/>
        </w:numPr>
        <w:spacing w:after="0"/>
        <w:ind w:left="714" w:hanging="357"/>
        <w:jc w:val="both"/>
        <w:rPr>
          <w:rFonts w:ascii="Candara" w:hAnsi="Candara"/>
        </w:rPr>
      </w:pPr>
      <w:r w:rsidRPr="00531DE6">
        <w:rPr>
          <w:rFonts w:ascii="Candara" w:hAnsi="Candara"/>
          <w:b/>
        </w:rPr>
        <w:t xml:space="preserve">wartości </w:t>
      </w:r>
      <w:r w:rsidRPr="00531DE6">
        <w:rPr>
          <w:rFonts w:ascii="Candara" w:hAnsi="Candara"/>
        </w:rPr>
        <w:t xml:space="preserve">– stanowiących odpowiedź na pytania: w co wierzymy? Jakie wyznajemy zasady? o jakie wartości opieramy rozwój miasta? </w:t>
      </w:r>
    </w:p>
    <w:p w:rsidR="006D49F1" w:rsidRPr="00531DE6" w:rsidRDefault="006D49F1" w:rsidP="006D49F1">
      <w:pPr>
        <w:numPr>
          <w:ilvl w:val="0"/>
          <w:numId w:val="1"/>
        </w:numPr>
        <w:spacing w:after="0"/>
        <w:ind w:left="714" w:hanging="357"/>
        <w:jc w:val="both"/>
        <w:rPr>
          <w:rFonts w:ascii="Candara" w:hAnsi="Candara"/>
        </w:rPr>
      </w:pPr>
      <w:r w:rsidRPr="00531DE6">
        <w:rPr>
          <w:rFonts w:ascii="Candara" w:hAnsi="Candara"/>
          <w:b/>
        </w:rPr>
        <w:t xml:space="preserve">standardy zachowań </w:t>
      </w:r>
      <w:r w:rsidRPr="00531DE6">
        <w:rPr>
          <w:rFonts w:ascii="Candara" w:hAnsi="Candara"/>
        </w:rPr>
        <w:t>– określenie procedur, polityk i schematów zachowań organizacyjnych</w:t>
      </w:r>
      <w:r w:rsidR="00500543" w:rsidRPr="00531DE6">
        <w:rPr>
          <w:rFonts w:ascii="Candara" w:hAnsi="Candara"/>
        </w:rPr>
        <w:t>,</w:t>
      </w:r>
      <w:r w:rsidRPr="00531DE6">
        <w:rPr>
          <w:rFonts w:ascii="Candara" w:hAnsi="Candara"/>
        </w:rPr>
        <w:t xml:space="preserve"> jakie powinny być przestrzegane w celu pełnej, efektywnej realizacji zamierzeń strategicznych.</w:t>
      </w:r>
      <w:r w:rsidR="00623CB3" w:rsidRPr="00531DE6">
        <w:rPr>
          <w:rFonts w:ascii="Candara" w:hAnsi="Candara"/>
        </w:rPr>
        <w:t xml:space="preserve"> </w:t>
      </w:r>
      <w:r w:rsidR="00623CB3" w:rsidRPr="00531DE6">
        <w:rPr>
          <w:rFonts w:ascii="Candara" w:hAnsi="Candara"/>
          <w:b/>
          <w:shd w:val="clear" w:color="auto" w:fill="BFBFBF" w:themeFill="background1" w:themeFillShade="BF"/>
        </w:rPr>
        <w:t xml:space="preserve">UWAGA! </w:t>
      </w:r>
      <w:r w:rsidR="00623CB3" w:rsidRPr="00531DE6">
        <w:rPr>
          <w:rFonts w:ascii="Candara" w:hAnsi="Candara"/>
        </w:rPr>
        <w:t>– ze względu na specyfikę budowy LSR standardy zachowań będą dyskutowane przy okazji opisu procedur i regulaminu naboru wniosków</w:t>
      </w:r>
      <w:r w:rsidR="00500543" w:rsidRPr="00531DE6">
        <w:rPr>
          <w:rFonts w:ascii="Candara" w:hAnsi="Candara"/>
        </w:rPr>
        <w:t>.</w:t>
      </w:r>
    </w:p>
    <w:p w:rsidR="006D49F1" w:rsidRPr="00531DE6" w:rsidRDefault="006D49F1" w:rsidP="006D49F1">
      <w:pPr>
        <w:spacing w:after="0"/>
        <w:ind w:left="714"/>
        <w:jc w:val="both"/>
        <w:rPr>
          <w:rFonts w:ascii="Candara" w:hAnsi="Candara"/>
        </w:rPr>
      </w:pPr>
    </w:p>
    <w:p w:rsidR="006D49F1" w:rsidRPr="00531DE6" w:rsidRDefault="006D49F1" w:rsidP="006D49F1">
      <w:pPr>
        <w:pStyle w:val="Legenda"/>
      </w:pPr>
      <w:r w:rsidRPr="00531DE6">
        <w:t xml:space="preserve">Rysunek 2. Misja według modelu </w:t>
      </w:r>
      <w:proofErr w:type="spellStart"/>
      <w:r w:rsidRPr="00531DE6">
        <w:t>Ashridge</w:t>
      </w:r>
      <w:proofErr w:type="spellEnd"/>
    </w:p>
    <w:p w:rsidR="006D49F1" w:rsidRPr="00531DE6" w:rsidRDefault="006D49F1" w:rsidP="006D49F1">
      <w:pPr>
        <w:jc w:val="center"/>
        <w:rPr>
          <w:rFonts w:ascii="Candara" w:hAnsi="Candara"/>
          <w:b/>
          <w:noProof/>
        </w:rPr>
      </w:pPr>
      <w:r w:rsidRPr="00531DE6">
        <w:rPr>
          <w:rFonts w:ascii="Candara" w:hAnsi="Candara"/>
          <w:b/>
          <w:noProof/>
          <w:lang w:eastAsia="pl-PL"/>
        </w:rPr>
        <mc:AlternateContent>
          <mc:Choice Requires="wpg">
            <w:drawing>
              <wp:inline distT="0" distB="0" distL="0" distR="0" wp14:anchorId="21DD4536" wp14:editId="40B4F02D">
                <wp:extent cx="5759450" cy="3232419"/>
                <wp:effectExtent l="0" t="0" r="12700" b="25400"/>
                <wp:docPr id="5" name="Group 12"/>
                <wp:cNvGraphicFramePr/>
                <a:graphic xmlns:a="http://schemas.openxmlformats.org/drawingml/2006/main">
                  <a:graphicData uri="http://schemas.microsoft.com/office/word/2010/wordprocessingGroup">
                    <wpg:wgp>
                      <wpg:cNvGrpSpPr/>
                      <wpg:grpSpPr bwMode="auto">
                        <a:xfrm>
                          <a:off x="0" y="0"/>
                          <a:ext cx="5759450" cy="3232419"/>
                          <a:chOff x="539552" y="1447800"/>
                          <a:chExt cx="4944" cy="2495"/>
                        </a:xfrm>
                      </wpg:grpSpPr>
                      <wpg:grpSp>
                        <wpg:cNvPr id="8" name="Group 13"/>
                        <wpg:cNvGrpSpPr>
                          <a:grpSpLocks/>
                        </wpg:cNvGrpSpPr>
                        <wpg:grpSpPr bwMode="auto">
                          <a:xfrm>
                            <a:off x="540958" y="1447800"/>
                            <a:ext cx="1996" cy="681"/>
                            <a:chOff x="540958" y="1447800"/>
                            <a:chExt cx="20000" cy="20012"/>
                          </a:xfrm>
                        </wpg:grpSpPr>
                        <wps:wsp>
                          <wps:cNvPr id="24" name="Freeform 14"/>
                          <wps:cNvSpPr>
                            <a:spLocks/>
                          </wps:cNvSpPr>
                          <wps:spPr bwMode="white">
                            <a:xfrm>
                              <a:off x="540958" y="1447812"/>
                              <a:ext cx="20000" cy="20000"/>
                            </a:xfrm>
                            <a:custGeom>
                              <a:avLst/>
                              <a:gdLst/>
                              <a:ahLst/>
                              <a:cxnLst>
                                <a:cxn ang="0">
                                  <a:pos x="0" y="0"/>
                                </a:cxn>
                                <a:cxn ang="0">
                                  <a:pos x="0" y="20000"/>
                                </a:cxn>
                                <a:cxn ang="0">
                                  <a:pos x="20000" y="20000"/>
                                </a:cxn>
                                <a:cxn ang="0">
                                  <a:pos x="20000" y="0"/>
                                </a:cxn>
                                <a:cxn ang="0">
                                  <a:pos x="0" y="0"/>
                                </a:cxn>
                              </a:cxnLst>
                              <a:rect l="0" t="0" r="r" b="b"/>
                              <a:pathLst>
                                <a:path w="20000" h="20000">
                                  <a:moveTo>
                                    <a:pt x="0" y="0"/>
                                  </a:moveTo>
                                  <a:lnTo>
                                    <a:pt x="0" y="20000"/>
                                  </a:lnTo>
                                  <a:lnTo>
                                    <a:pt x="20000" y="20000"/>
                                  </a:lnTo>
                                  <a:lnTo>
                                    <a:pt x="20000" y="0"/>
                                  </a:lnTo>
                                  <a:lnTo>
                                    <a:pt x="0" y="0"/>
                                  </a:lnTo>
                                </a:path>
                              </a:pathLst>
                            </a:custGeom>
                            <a:noFill/>
                            <a:ln w="12700" cap="flat" cmpd="sng" algn="ctr">
                              <a:solidFill>
                                <a:srgbClr val="9B2D1F">
                                  <a:shade val="50000"/>
                                </a:srgbClr>
                              </a:solidFill>
                              <a:prstDash val="solid"/>
                              <a:headEnd/>
                              <a:tailEnd/>
                            </a:ln>
                            <a:effectLst/>
                          </wps:spPr>
                          <wps:style>
                            <a:lnRef idx="2">
                              <a:schemeClr val="accent2">
                                <a:shade val="50000"/>
                              </a:schemeClr>
                            </a:lnRef>
                            <a:fillRef idx="1">
                              <a:schemeClr val="accent2"/>
                            </a:fillRef>
                            <a:effectRef idx="0">
                              <a:schemeClr val="accent2"/>
                            </a:effectRef>
                            <a:fontRef idx="minor">
                              <a:schemeClr val="lt1"/>
                            </a:fontRef>
                          </wps:style>
                          <wps:bodyPr/>
                        </wps:wsp>
                        <wps:wsp>
                          <wps:cNvPr id="25" name="Rectangle 15"/>
                          <wps:cNvSpPr>
                            <a:spLocks noChangeArrowheads="1"/>
                          </wps:cNvSpPr>
                          <wps:spPr bwMode="auto">
                            <a:xfrm>
                              <a:off x="540960" y="1447800"/>
                              <a:ext cx="19998" cy="20012"/>
                            </a:xfrm>
                            <a:prstGeom prst="rect">
                              <a:avLst/>
                            </a:prstGeom>
                            <a:solidFill>
                              <a:sysClr val="window" lastClr="FFFFFF">
                                <a:lumMod val="50000"/>
                                <a:alpha val="54000"/>
                              </a:sysClr>
                            </a:solidFill>
                            <a:ln w="9525" cap="flat" cmpd="sng" algn="ctr">
                              <a:solidFill>
                                <a:sysClr val="window" lastClr="FFFFFF"/>
                              </a:solidFill>
                              <a:prstDash val="solid"/>
                              <a:headEnd/>
                              <a:tailEnd/>
                            </a:ln>
                            <a:effectLst/>
                          </wps:spPr>
                          <wps:style>
                            <a:lnRef idx="1">
                              <a:schemeClr val="accent1"/>
                            </a:lnRef>
                            <a:fillRef idx="3">
                              <a:schemeClr val="accent1"/>
                            </a:fillRef>
                            <a:effectRef idx="2">
                              <a:schemeClr val="accent1"/>
                            </a:effectRef>
                            <a:fontRef idx="minor">
                              <a:schemeClr val="lt1"/>
                            </a:fontRef>
                          </wps:style>
                          <wps:txbx>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Pr="00F12857" w:rsidRDefault="006D49F1" w:rsidP="006D49F1">
                                <w:pPr>
                                  <w:pStyle w:val="NormalnyWeb"/>
                                  <w:spacing w:before="0" w:beforeAutospacing="0" w:after="0" w:afterAutospacing="0"/>
                                  <w:jc w:val="center"/>
                                  <w:rPr>
                                    <w:rFonts w:ascii="Calibri" w:hAnsi="Calibri"/>
                                    <w:b/>
                                    <w:bCs/>
                                    <w:color w:val="000000"/>
                                  </w:rPr>
                                </w:pPr>
                                <w:r w:rsidRPr="00F12857">
                                  <w:rPr>
                                    <w:rFonts w:ascii="Calibri" w:hAnsi="Calibri"/>
                                    <w:b/>
                                    <w:bCs/>
                                    <w:color w:val="000000"/>
                                  </w:rPr>
                                  <w:t>CEL – główna aspiracja</w:t>
                                </w:r>
                              </w:p>
                              <w:p w:rsidR="006D49F1" w:rsidRDefault="006D49F1" w:rsidP="006D49F1">
                                <w:pPr>
                                  <w:pStyle w:val="NormalnyWeb"/>
                                  <w:spacing w:before="0" w:beforeAutospacing="0" w:after="0" w:afterAutospacing="0"/>
                                  <w:jc w:val="center"/>
                                </w:pPr>
                                <w:r>
                                  <w:rPr>
                                    <w:rFonts w:ascii="Calibri" w:hAnsi="Calibri"/>
                                    <w:color w:val="000000"/>
                                  </w:rPr>
                                  <w:t>Po co?</w:t>
                                </w:r>
                              </w:p>
                            </w:txbxContent>
                          </wps:txbx>
                          <wps:bodyPr lIns="22860" tIns="22860" rIns="22860" bIns="22860"/>
                        </wps:wsp>
                      </wpg:grpSp>
                      <wpg:grpSp>
                        <wpg:cNvPr id="9" name="Group 16"/>
                        <wpg:cNvGrpSpPr>
                          <a:grpSpLocks/>
                        </wpg:cNvGrpSpPr>
                        <wpg:grpSpPr bwMode="auto">
                          <a:xfrm>
                            <a:off x="540958" y="1449541"/>
                            <a:ext cx="1996" cy="754"/>
                            <a:chOff x="540958" y="1449541"/>
                            <a:chExt cx="20000" cy="20003"/>
                          </a:xfrm>
                        </wpg:grpSpPr>
                        <wps:wsp>
                          <wps:cNvPr id="22" name="Freeform 17"/>
                          <wps:cNvSpPr>
                            <a:spLocks/>
                          </wps:cNvSpPr>
                          <wps:spPr bwMode="white">
                            <a:xfrm>
                              <a:off x="540958" y="1449541"/>
                              <a:ext cx="20000" cy="20000"/>
                            </a:xfrm>
                            <a:custGeom>
                              <a:avLst/>
                              <a:gdLst/>
                              <a:ahLst/>
                              <a:cxnLst>
                                <a:cxn ang="0">
                                  <a:pos x="0" y="0"/>
                                </a:cxn>
                                <a:cxn ang="0">
                                  <a:pos x="0" y="20000"/>
                                </a:cxn>
                                <a:cxn ang="0">
                                  <a:pos x="20000" y="20000"/>
                                </a:cxn>
                                <a:cxn ang="0">
                                  <a:pos x="20000" y="0"/>
                                </a:cxn>
                                <a:cxn ang="0">
                                  <a:pos x="0" y="0"/>
                                </a:cxn>
                              </a:cxnLst>
                              <a:rect l="0" t="0" r="r" b="b"/>
                              <a:pathLst>
                                <a:path w="20000" h="20000">
                                  <a:moveTo>
                                    <a:pt x="0" y="0"/>
                                  </a:moveTo>
                                  <a:lnTo>
                                    <a:pt x="0" y="20000"/>
                                  </a:lnTo>
                                  <a:lnTo>
                                    <a:pt x="20000" y="20000"/>
                                  </a:lnTo>
                                  <a:lnTo>
                                    <a:pt x="20000" y="0"/>
                                  </a:lnTo>
                                  <a:lnTo>
                                    <a:pt x="0" y="0"/>
                                  </a:lnTo>
                                </a:path>
                              </a:pathLst>
                            </a:custGeom>
                            <a:noFill/>
                            <a:ln w="12700" cap="flat" cmpd="sng" algn="ctr">
                              <a:solidFill>
                                <a:srgbClr val="9B2D1F">
                                  <a:shade val="50000"/>
                                </a:srgbClr>
                              </a:solidFill>
                              <a:prstDash val="solid"/>
                              <a:headEnd/>
                              <a:tailEnd/>
                            </a:ln>
                            <a:effectLst/>
                          </wps:spPr>
                          <wps:style>
                            <a:lnRef idx="2">
                              <a:schemeClr val="accent2">
                                <a:shade val="50000"/>
                              </a:schemeClr>
                            </a:lnRef>
                            <a:fillRef idx="1">
                              <a:schemeClr val="accent2"/>
                            </a:fillRef>
                            <a:effectRef idx="0">
                              <a:schemeClr val="accent2"/>
                            </a:effectRef>
                            <a:fontRef idx="minor">
                              <a:schemeClr val="lt1"/>
                            </a:fontRef>
                          </wps:style>
                          <wps:bodyPr/>
                        </wps:wsp>
                        <wps:wsp>
                          <wps:cNvPr id="23" name="Rectangle 18"/>
                          <wps:cNvSpPr>
                            <a:spLocks noChangeArrowheads="1"/>
                          </wps:cNvSpPr>
                          <wps:spPr bwMode="auto">
                            <a:xfrm>
                              <a:off x="540958" y="1449541"/>
                              <a:ext cx="20000" cy="20003"/>
                            </a:xfrm>
                            <a:prstGeom prst="rect">
                              <a:avLst/>
                            </a:prstGeom>
                            <a:solidFill>
                              <a:sysClr val="window" lastClr="FFFFFF">
                                <a:lumMod val="50000"/>
                                <a:alpha val="54000"/>
                              </a:sysClr>
                            </a:solidFill>
                            <a:ln w="9525" cap="flat" cmpd="sng" algn="ctr">
                              <a:solidFill>
                                <a:sysClr val="window" lastClr="FFFFFF"/>
                              </a:solidFill>
                              <a:prstDash val="solid"/>
                              <a:headEnd/>
                              <a:tailEnd/>
                            </a:ln>
                            <a:effectLst/>
                          </wps:spPr>
                          <wps:style>
                            <a:lnRef idx="1">
                              <a:schemeClr val="accent1"/>
                            </a:lnRef>
                            <a:fillRef idx="3">
                              <a:schemeClr val="accent1"/>
                            </a:fillRef>
                            <a:effectRef idx="2">
                              <a:schemeClr val="accent1"/>
                            </a:effectRef>
                            <a:fontRef idx="minor">
                              <a:schemeClr val="lt1"/>
                            </a:fontRef>
                          </wps:style>
                          <wps:txbx>
                            <w:txbxContent>
                              <w:p w:rsidR="006D49F1" w:rsidRDefault="006D49F1" w:rsidP="006D49F1">
                                <w:pPr>
                                  <w:pStyle w:val="NormalnyWeb"/>
                                  <w:spacing w:before="0" w:beforeAutospacing="0" w:after="0" w:afterAutospacing="0"/>
                                  <w:jc w:val="center"/>
                                </w:pPr>
                                <w:r>
                                  <w:rPr>
                                    <w:rFonts w:ascii="Calibri" w:hAnsi="Calibri"/>
                                    <w:b/>
                                    <w:bCs/>
                                    <w:color w:val="000000"/>
                                  </w:rPr>
                                  <w:t>DOMENY STRATEGICZNEGO ROZWOJU</w:t>
                                </w:r>
                              </w:p>
                              <w:p w:rsidR="006D49F1" w:rsidRDefault="006D49F1" w:rsidP="006D49F1">
                                <w:pPr>
                                  <w:pStyle w:val="NormalnyWeb"/>
                                  <w:spacing w:before="0" w:beforeAutospacing="0" w:after="0" w:afterAutospacing="0"/>
                                  <w:jc w:val="center"/>
                                </w:pPr>
                                <w:r>
                                  <w:rPr>
                                    <w:rFonts w:ascii="Calibri" w:hAnsi="Calibri"/>
                                    <w:color w:val="000000"/>
                                  </w:rPr>
                                  <w:t>W jakich obszarach działamy?</w:t>
                                </w:r>
                              </w:p>
                              <w:p w:rsidR="006D49F1" w:rsidRDefault="006D49F1" w:rsidP="006D49F1">
                                <w:pPr>
                                  <w:pStyle w:val="NormalnyWeb"/>
                                  <w:spacing w:before="0" w:beforeAutospacing="0" w:after="0" w:afterAutospacing="0"/>
                                  <w:jc w:val="center"/>
                                </w:pPr>
                                <w:r>
                                  <w:rPr>
                                    <w:rFonts w:ascii="Calibri" w:hAnsi="Calibri"/>
                                    <w:color w:val="000000"/>
                                  </w:rPr>
                                  <w:t>Czym się zajmujemy?</w:t>
                                </w:r>
                              </w:p>
                            </w:txbxContent>
                          </wps:txbx>
                          <wps:bodyPr lIns="22860" tIns="22860" rIns="22860" bIns="22860"/>
                        </wps:wsp>
                      </wpg:grpSp>
                      <wpg:grpSp>
                        <wpg:cNvPr id="11" name="Group 19"/>
                        <wpg:cNvGrpSpPr>
                          <a:grpSpLocks/>
                        </wpg:cNvGrpSpPr>
                        <wpg:grpSpPr bwMode="auto">
                          <a:xfrm>
                            <a:off x="539552" y="1448708"/>
                            <a:ext cx="2086" cy="725"/>
                            <a:chOff x="539552" y="1448708"/>
                            <a:chExt cx="20000" cy="20016"/>
                          </a:xfrm>
                        </wpg:grpSpPr>
                        <wps:wsp>
                          <wps:cNvPr id="20" name="Freeform 20"/>
                          <wps:cNvSpPr>
                            <a:spLocks/>
                          </wps:cNvSpPr>
                          <wps:spPr bwMode="auto">
                            <a:xfrm>
                              <a:off x="539552" y="1448724"/>
                              <a:ext cx="20000" cy="20000"/>
                            </a:xfrm>
                            <a:custGeom>
                              <a:avLst/>
                              <a:gdLst/>
                              <a:ahLst/>
                              <a:cxnLst>
                                <a:cxn ang="0">
                                  <a:pos x="0" y="0"/>
                                </a:cxn>
                                <a:cxn ang="0">
                                  <a:pos x="0" y="20000"/>
                                </a:cxn>
                                <a:cxn ang="0">
                                  <a:pos x="20000" y="20000"/>
                                </a:cxn>
                                <a:cxn ang="0">
                                  <a:pos x="20000" y="0"/>
                                </a:cxn>
                                <a:cxn ang="0">
                                  <a:pos x="0" y="0"/>
                                </a:cxn>
                              </a:cxnLst>
                              <a:rect l="0" t="0" r="r" b="b"/>
                              <a:pathLst>
                                <a:path w="20000" h="20000">
                                  <a:moveTo>
                                    <a:pt x="0" y="0"/>
                                  </a:moveTo>
                                  <a:lnTo>
                                    <a:pt x="0" y="20000"/>
                                  </a:lnTo>
                                  <a:lnTo>
                                    <a:pt x="20000" y="20000"/>
                                  </a:lnTo>
                                  <a:lnTo>
                                    <a:pt x="20000" y="0"/>
                                  </a:lnTo>
                                  <a:lnTo>
                                    <a:pt x="0" y="0"/>
                                  </a:lnTo>
                                </a:path>
                              </a:pathLst>
                            </a:custGeom>
                            <a:noFill/>
                            <a:ln w="12700" cap="flat" cmpd="sng" algn="ctr">
                              <a:solidFill>
                                <a:srgbClr val="9B2D1F">
                                  <a:shade val="50000"/>
                                </a:srgbClr>
                              </a:solidFill>
                              <a:prstDash val="solid"/>
                              <a:headEnd/>
                              <a:tailEnd/>
                            </a:ln>
                            <a:effectLst/>
                          </wps:spPr>
                          <wps:style>
                            <a:lnRef idx="2">
                              <a:schemeClr val="accent2">
                                <a:shade val="50000"/>
                              </a:schemeClr>
                            </a:lnRef>
                            <a:fillRef idx="1">
                              <a:schemeClr val="accent2"/>
                            </a:fillRef>
                            <a:effectRef idx="0">
                              <a:schemeClr val="accent2"/>
                            </a:effectRef>
                            <a:fontRef idx="minor">
                              <a:schemeClr val="lt1"/>
                            </a:fontRef>
                          </wps:style>
                          <wps:bodyPr/>
                        </wps:wsp>
                        <wps:wsp>
                          <wps:cNvPr id="21" name="Rectangle 21"/>
                          <wps:cNvSpPr>
                            <a:spLocks noChangeArrowheads="1"/>
                          </wps:cNvSpPr>
                          <wps:spPr bwMode="auto">
                            <a:xfrm>
                              <a:off x="539555" y="1448708"/>
                              <a:ext cx="19997" cy="20016"/>
                            </a:xfrm>
                            <a:prstGeom prst="rect">
                              <a:avLst/>
                            </a:prstGeom>
                            <a:solidFill>
                              <a:sysClr val="window" lastClr="FFFFFF">
                                <a:lumMod val="50000"/>
                                <a:alpha val="54000"/>
                              </a:sysClr>
                            </a:solidFill>
                            <a:ln w="9525" cap="flat" cmpd="sng" algn="ctr">
                              <a:solidFill>
                                <a:sysClr val="window" lastClr="FFFFFF"/>
                              </a:solidFill>
                              <a:prstDash val="solid"/>
                              <a:headEnd/>
                              <a:tailEnd/>
                            </a:ln>
                            <a:effectLst/>
                          </wps:spPr>
                          <wps:style>
                            <a:lnRef idx="1">
                              <a:schemeClr val="accent1"/>
                            </a:lnRef>
                            <a:fillRef idx="3">
                              <a:schemeClr val="accent1"/>
                            </a:fillRef>
                            <a:effectRef idx="2">
                              <a:schemeClr val="accent1"/>
                            </a:effectRef>
                            <a:fontRef idx="minor">
                              <a:schemeClr val="lt1"/>
                            </a:fontRef>
                          </wps:style>
                          <wps:txbx>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Default="006D49F1" w:rsidP="006D49F1">
                                <w:pPr>
                                  <w:pStyle w:val="NormalnyWeb"/>
                                  <w:spacing w:before="0" w:beforeAutospacing="0" w:after="0" w:afterAutospacing="0"/>
                                  <w:jc w:val="center"/>
                                </w:pPr>
                                <w:r>
                                  <w:rPr>
                                    <w:rFonts w:ascii="Calibri" w:hAnsi="Calibri"/>
                                    <w:b/>
                                    <w:bCs/>
                                    <w:color w:val="000000"/>
                                  </w:rPr>
                                  <w:t>WARTOŚCI</w:t>
                                </w:r>
                              </w:p>
                              <w:p w:rsidR="006D49F1" w:rsidRDefault="006D49F1" w:rsidP="006D49F1">
                                <w:pPr>
                                  <w:pStyle w:val="NormalnyWeb"/>
                                  <w:kinsoku w:val="0"/>
                                  <w:overflowPunct w:val="0"/>
                                  <w:spacing w:before="0" w:beforeAutospacing="0" w:after="0" w:afterAutospacing="0"/>
                                  <w:jc w:val="center"/>
                                </w:pPr>
                                <w:r>
                                  <w:rPr>
                                    <w:rFonts w:ascii="Calibri" w:hAnsi="Calibri"/>
                                    <w:color w:val="000000"/>
                                  </w:rPr>
                                  <w:t>W co wierzymy?</w:t>
                                </w:r>
                              </w:p>
                              <w:p w:rsidR="006D49F1" w:rsidRDefault="006D49F1" w:rsidP="006D49F1">
                                <w:pPr>
                                  <w:pStyle w:val="NormalnyWeb"/>
                                  <w:spacing w:before="0" w:beforeAutospacing="0" w:after="0" w:afterAutospacing="0"/>
                                  <w:jc w:val="center"/>
                                </w:pPr>
                                <w:r>
                                  <w:rPr>
                                    <w:rFonts w:ascii="Calibri" w:hAnsi="Calibri"/>
                                    <w:color w:val="000000"/>
                                  </w:rPr>
                                  <w:t>Jakie wyznajemy zasady?</w:t>
                                </w:r>
                                <w:r>
                                  <w:rPr>
                                    <w:rFonts w:ascii="Calibri" w:hAnsi="Calibri"/>
                                    <w:b/>
                                    <w:bCs/>
                                    <w:color w:val="000000"/>
                                  </w:rPr>
                                  <w:t xml:space="preserve"> </w:t>
                                </w:r>
                              </w:p>
                            </w:txbxContent>
                          </wps:txbx>
                          <wps:bodyPr lIns="22860" tIns="22860" rIns="22860" bIns="22860"/>
                        </wps:wsp>
                      </wpg:grpSp>
                      <wpg:grpSp>
                        <wpg:cNvPr id="13" name="Group 22"/>
                        <wpg:cNvGrpSpPr>
                          <a:grpSpLocks/>
                        </wpg:cNvGrpSpPr>
                        <wpg:grpSpPr bwMode="auto">
                          <a:xfrm>
                            <a:off x="542364" y="1448708"/>
                            <a:ext cx="2132" cy="725"/>
                            <a:chOff x="542364" y="1448708"/>
                            <a:chExt cx="20000" cy="20000"/>
                          </a:xfrm>
                        </wpg:grpSpPr>
                        <wps:wsp>
                          <wps:cNvPr id="18" name="Freeform 23"/>
                          <wps:cNvSpPr>
                            <a:spLocks/>
                          </wps:cNvSpPr>
                          <wps:spPr bwMode="white">
                            <a:xfrm>
                              <a:off x="542364" y="1448708"/>
                              <a:ext cx="20000" cy="20000"/>
                            </a:xfrm>
                            <a:custGeom>
                              <a:avLst/>
                              <a:gdLst/>
                              <a:ahLst/>
                              <a:cxnLst>
                                <a:cxn ang="0">
                                  <a:pos x="0" y="0"/>
                                </a:cxn>
                                <a:cxn ang="0">
                                  <a:pos x="0" y="20000"/>
                                </a:cxn>
                                <a:cxn ang="0">
                                  <a:pos x="20000" y="20000"/>
                                </a:cxn>
                                <a:cxn ang="0">
                                  <a:pos x="20000" y="0"/>
                                </a:cxn>
                                <a:cxn ang="0">
                                  <a:pos x="0" y="0"/>
                                </a:cxn>
                              </a:cxnLst>
                              <a:rect l="0" t="0" r="r" b="b"/>
                              <a:pathLst>
                                <a:path w="20000" h="20000">
                                  <a:moveTo>
                                    <a:pt x="0" y="0"/>
                                  </a:moveTo>
                                  <a:lnTo>
                                    <a:pt x="0" y="20000"/>
                                  </a:lnTo>
                                  <a:lnTo>
                                    <a:pt x="20000" y="20000"/>
                                  </a:lnTo>
                                  <a:lnTo>
                                    <a:pt x="20000" y="0"/>
                                  </a:lnTo>
                                  <a:lnTo>
                                    <a:pt x="0" y="0"/>
                                  </a:lnTo>
                                </a:path>
                              </a:pathLst>
                            </a:custGeom>
                            <a:noFill/>
                            <a:ln w="12700" cap="flat" cmpd="sng" algn="ctr">
                              <a:solidFill>
                                <a:srgbClr val="9B2D1F">
                                  <a:shade val="50000"/>
                                </a:srgbClr>
                              </a:solidFill>
                              <a:prstDash val="solid"/>
                              <a:headEnd/>
                              <a:tailEnd/>
                            </a:ln>
                            <a:effectLst/>
                          </wps:spPr>
                          <wps:style>
                            <a:lnRef idx="2">
                              <a:schemeClr val="accent2">
                                <a:shade val="50000"/>
                              </a:schemeClr>
                            </a:lnRef>
                            <a:fillRef idx="1">
                              <a:schemeClr val="accent2"/>
                            </a:fillRef>
                            <a:effectRef idx="0">
                              <a:schemeClr val="accent2"/>
                            </a:effectRef>
                            <a:fontRef idx="minor">
                              <a:schemeClr val="lt1"/>
                            </a:fontRef>
                          </wps:style>
                          <wps:bodyPr/>
                        </wps:wsp>
                        <wps:wsp>
                          <wps:cNvPr id="19" name="Rectangle 24"/>
                          <wps:cNvSpPr>
                            <a:spLocks noChangeArrowheads="1"/>
                          </wps:cNvSpPr>
                          <wps:spPr bwMode="auto">
                            <a:xfrm>
                              <a:off x="542364" y="1448710"/>
                              <a:ext cx="20000" cy="19998"/>
                            </a:xfrm>
                            <a:prstGeom prst="rect">
                              <a:avLst/>
                            </a:prstGeom>
                            <a:solidFill>
                              <a:sysClr val="window" lastClr="FFFFFF">
                                <a:lumMod val="50000"/>
                                <a:alpha val="54000"/>
                              </a:sysClr>
                            </a:solidFill>
                            <a:ln w="9525" cap="flat" cmpd="sng" algn="ctr">
                              <a:solidFill>
                                <a:sysClr val="window" lastClr="FFFFFF"/>
                              </a:solidFill>
                              <a:prstDash val="solid"/>
                              <a:headEnd/>
                              <a:tailEnd/>
                            </a:ln>
                            <a:effectLst/>
                          </wps:spPr>
                          <wps:style>
                            <a:lnRef idx="1">
                              <a:schemeClr val="accent1"/>
                            </a:lnRef>
                            <a:fillRef idx="3">
                              <a:schemeClr val="accent1"/>
                            </a:fillRef>
                            <a:effectRef idx="2">
                              <a:schemeClr val="accent1"/>
                            </a:effectRef>
                            <a:fontRef idx="minor">
                              <a:schemeClr val="lt1"/>
                            </a:fontRef>
                          </wps:style>
                          <wps:txbx>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Default="006D49F1" w:rsidP="006D49F1">
                                <w:pPr>
                                  <w:pStyle w:val="NormalnyWeb"/>
                                  <w:spacing w:before="0" w:beforeAutospacing="0" w:after="0" w:afterAutospacing="0"/>
                                  <w:jc w:val="center"/>
                                </w:pPr>
                                <w:r>
                                  <w:rPr>
                                    <w:rFonts w:ascii="Calibri" w:hAnsi="Calibri"/>
                                    <w:b/>
                                    <w:bCs/>
                                    <w:color w:val="000000"/>
                                  </w:rPr>
                                  <w:t>STANDARDY ZACHOWAŃ</w:t>
                                </w:r>
                              </w:p>
                              <w:p w:rsidR="006D49F1" w:rsidRDefault="006D49F1" w:rsidP="006D49F1">
                                <w:pPr>
                                  <w:pStyle w:val="NormalnyWeb"/>
                                  <w:spacing w:before="0" w:beforeAutospacing="0" w:after="0" w:afterAutospacing="0"/>
                                  <w:jc w:val="center"/>
                                </w:pPr>
                                <w:r>
                                  <w:rPr>
                                    <w:rFonts w:ascii="Calibri" w:hAnsi="Calibri"/>
                                    <w:color w:val="000000"/>
                                  </w:rPr>
                                  <w:t>W jaki sposób działamy?</w:t>
                                </w:r>
                              </w:p>
                            </w:txbxContent>
                          </wps:txbx>
                          <wps:bodyPr lIns="22860" tIns="22860" rIns="22860" bIns="22860"/>
                        </wps:wsp>
                      </wpg:grpSp>
                      <wps:wsp>
                        <wps:cNvPr id="14" name="Line 25"/>
                        <wps:cNvCnPr/>
                        <wps:spPr bwMode="auto">
                          <a:xfrm flipH="1">
                            <a:off x="540867" y="1448481"/>
                            <a:ext cx="408" cy="227"/>
                          </a:xfrm>
                          <a:prstGeom prst="line">
                            <a:avLst/>
                          </a:prstGeom>
                          <a:blipFill>
                            <a:blip r:embed="rId10">
                              <a:duotone>
                                <a:srgbClr val="D34817">
                                  <a:shade val="22000"/>
                                  <a:satMod val="160000"/>
                                </a:srgbClr>
                                <a:srgbClr val="D34817">
                                  <a:shade val="45000"/>
                                  <a:satMod val="100000"/>
                                </a:srgbClr>
                              </a:duotone>
                            </a:blip>
                            <a:tile tx="0" ty="0" sx="65000" sy="65000" flip="none" algn="ctr"/>
                          </a:blipFill>
                          <a:ln w="31750" cap="flat" cmpd="sng" algn="ctr">
                            <a:solidFill>
                              <a:sysClr val="windowText" lastClr="000000">
                                <a:lumMod val="50000"/>
                                <a:lumOff val="50000"/>
                              </a:sysClr>
                            </a:solidFill>
                            <a:prstDash val="solid"/>
                            <a:headEnd/>
                            <a:tailEnd/>
                          </a:ln>
                          <a:effectLst/>
                        </wps:spPr>
                        <wps:style>
                          <a:lnRef idx="1">
                            <a:schemeClr val="accent1"/>
                          </a:lnRef>
                          <a:fillRef idx="3">
                            <a:schemeClr val="accent1"/>
                          </a:fillRef>
                          <a:effectRef idx="2">
                            <a:schemeClr val="accent1"/>
                          </a:effectRef>
                          <a:fontRef idx="minor">
                            <a:schemeClr val="lt1"/>
                          </a:fontRef>
                        </wps:style>
                        <wps:bodyPr/>
                      </wps:wsp>
                      <wps:wsp>
                        <wps:cNvPr id="15" name="Line 26"/>
                        <wps:cNvCnPr/>
                        <wps:spPr bwMode="auto">
                          <a:xfrm>
                            <a:off x="540731" y="1449433"/>
                            <a:ext cx="227" cy="227"/>
                          </a:xfrm>
                          <a:prstGeom prst="line">
                            <a:avLst/>
                          </a:prstGeom>
                          <a:blipFill>
                            <a:blip r:embed="rId10">
                              <a:duotone>
                                <a:srgbClr val="D34817">
                                  <a:shade val="22000"/>
                                  <a:satMod val="160000"/>
                                </a:srgbClr>
                                <a:srgbClr val="D34817">
                                  <a:shade val="45000"/>
                                  <a:satMod val="100000"/>
                                </a:srgbClr>
                              </a:duotone>
                            </a:blip>
                            <a:tile tx="0" ty="0" sx="65000" sy="65000" flip="none" algn="ctr"/>
                          </a:blipFill>
                          <a:ln w="31750" cap="flat" cmpd="sng" algn="ctr">
                            <a:solidFill>
                              <a:sysClr val="windowText" lastClr="000000">
                                <a:lumMod val="50000"/>
                                <a:lumOff val="50000"/>
                              </a:sysClr>
                            </a:solidFill>
                            <a:prstDash val="solid"/>
                            <a:headEnd/>
                            <a:tailEnd/>
                          </a:ln>
                          <a:effectLst/>
                        </wps:spPr>
                        <wps:style>
                          <a:lnRef idx="1">
                            <a:schemeClr val="accent1"/>
                          </a:lnRef>
                          <a:fillRef idx="3">
                            <a:schemeClr val="accent1"/>
                          </a:fillRef>
                          <a:effectRef idx="2">
                            <a:schemeClr val="accent1"/>
                          </a:effectRef>
                          <a:fontRef idx="minor">
                            <a:schemeClr val="lt1"/>
                          </a:fontRef>
                        </wps:style>
                        <wps:bodyPr/>
                      </wps:wsp>
                      <wps:wsp>
                        <wps:cNvPr id="16" name="Line 27"/>
                        <wps:cNvCnPr/>
                        <wps:spPr bwMode="auto">
                          <a:xfrm flipH="1">
                            <a:off x="542954" y="1449433"/>
                            <a:ext cx="226" cy="227"/>
                          </a:xfrm>
                          <a:prstGeom prst="line">
                            <a:avLst/>
                          </a:prstGeom>
                          <a:blipFill>
                            <a:blip r:embed="rId10">
                              <a:duotone>
                                <a:srgbClr val="D34817">
                                  <a:shade val="22000"/>
                                  <a:satMod val="160000"/>
                                </a:srgbClr>
                                <a:srgbClr val="D34817">
                                  <a:shade val="45000"/>
                                  <a:satMod val="100000"/>
                                </a:srgbClr>
                              </a:duotone>
                            </a:blip>
                            <a:tile tx="0" ty="0" sx="65000" sy="65000" flip="none" algn="ctr"/>
                          </a:blipFill>
                          <a:ln w="31750" cap="flat" cmpd="sng" algn="ctr">
                            <a:solidFill>
                              <a:sysClr val="windowText" lastClr="000000">
                                <a:lumMod val="50000"/>
                                <a:lumOff val="50000"/>
                              </a:sysClr>
                            </a:solidFill>
                            <a:prstDash val="solid"/>
                            <a:headEnd/>
                            <a:tailEnd/>
                          </a:ln>
                          <a:effectLst/>
                        </wps:spPr>
                        <wps:style>
                          <a:lnRef idx="1">
                            <a:schemeClr val="accent1"/>
                          </a:lnRef>
                          <a:fillRef idx="3">
                            <a:schemeClr val="accent1"/>
                          </a:fillRef>
                          <a:effectRef idx="2">
                            <a:schemeClr val="accent1"/>
                          </a:effectRef>
                          <a:fontRef idx="minor">
                            <a:schemeClr val="lt1"/>
                          </a:fontRef>
                        </wps:style>
                        <wps:bodyPr/>
                      </wps:wsp>
                      <wps:wsp>
                        <wps:cNvPr id="17" name="Line 28"/>
                        <wps:cNvCnPr/>
                        <wps:spPr bwMode="auto">
                          <a:xfrm flipH="1" flipV="1">
                            <a:off x="542546" y="1448481"/>
                            <a:ext cx="409" cy="227"/>
                          </a:xfrm>
                          <a:prstGeom prst="line">
                            <a:avLst/>
                          </a:prstGeom>
                          <a:blipFill>
                            <a:blip r:embed="rId10">
                              <a:duotone>
                                <a:srgbClr val="D34817">
                                  <a:shade val="22000"/>
                                  <a:satMod val="160000"/>
                                </a:srgbClr>
                                <a:srgbClr val="D34817">
                                  <a:shade val="45000"/>
                                  <a:satMod val="100000"/>
                                </a:srgbClr>
                              </a:duotone>
                            </a:blip>
                            <a:tile tx="0" ty="0" sx="65000" sy="65000" flip="none" algn="ctr"/>
                          </a:blipFill>
                          <a:ln w="31750" cap="flat" cmpd="sng" algn="ctr">
                            <a:solidFill>
                              <a:sysClr val="windowText" lastClr="000000">
                                <a:lumMod val="50000"/>
                                <a:lumOff val="50000"/>
                              </a:sysClr>
                            </a:solidFill>
                            <a:prstDash val="solid"/>
                            <a:headEnd/>
                            <a:tailEnd/>
                          </a:ln>
                          <a:effectLst/>
                        </wps:spPr>
                        <wps:style>
                          <a:lnRef idx="1">
                            <a:schemeClr val="accent1"/>
                          </a:lnRef>
                          <a:fillRef idx="3">
                            <a:schemeClr val="accent1"/>
                          </a:fillRef>
                          <a:effectRef idx="2">
                            <a:schemeClr val="accent1"/>
                          </a:effectRef>
                          <a:fontRef idx="minor">
                            <a:schemeClr val="lt1"/>
                          </a:fontRef>
                        </wps:style>
                        <wps:bodyPr/>
                      </wps:wsp>
                    </wpg:wgp>
                  </a:graphicData>
                </a:graphic>
              </wp:inline>
            </w:drawing>
          </mc:Choice>
          <mc:Fallback xmlns:w15="http://schemas.microsoft.com/office/word/2012/wordml">
            <w:pict>
              <v:group w14:anchorId="21DD4536" id="Group 12" o:spid="_x0000_s1026" style="width:453.5pt;height:254.5pt;mso-position-horizontal-relative:char;mso-position-vertical-relative:line" coordorigin="5395,14478" coordsize="4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">
                <v:group id="Group 13" o:spid="_x0000_s1027" style="position:absolute;left:5409;top:14478;width:20;height:6" coordorigin="5409,14478"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4" o:spid="_x0000_s1028" style="position:absolute;left:5409;top:14478;width:200;height:200;visibility:visible;mso-wrap-style:square;v-text-anchor:top" coordsize="20000,20000" o:bwmode="whit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9fCcYA&#10;AADbAAAADwAAAGRycy9kb3ducmV2LnhtbESPQWvCQBSE7wX/w/IKXkrdKNZKzEaKVBChorYHj4/s&#10;M0nNvg3ZNUZ/vSsUehxm5hsmmXemEi01rrSsYDiIQBBnVpecK/j5Xr5OQTiPrLGyTAqu5GCe9p4S&#10;jLW98I7avc9FgLCLUUHhfR1L6bKCDLqBrYmDd7SNQR9kk0vd4CXATSVHUTSRBksOCwXWtCgoO+3P&#10;RsH667ZZ/L64zXJ4ftu2/G6vn9lBqf5z9zED4anz/+G/9korGI3h8SX8AJn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9fCcYAAADbAAAADwAAAAAAAAAAAAAAAACYAgAAZHJz&#10;L2Rvd25yZXYueG1sUEsFBgAAAAAEAAQA9QAAAIsDAAAAAA==&#10;" path="m,l,20000r20000,l20000,,,e" filled="f" strokecolor="#711e14" strokeweight="1pt">
                    <v:stroke joinstyle="miter"/>
                    <v:path arrowok="t" o:connecttype="custom" o:connectlocs="0,0;0,20000;20000,20000;20000,0;0,0" o:connectangles="0,0,0,0,0"/>
                  </v:shape>
                  <v:rect id="Rectangle 15" o:spid="_x0000_s1029" style="position:absolute;left:5409;top:1447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mNMEA&#10;AADbAAAADwAAAGRycy9kb3ducmV2LnhtbESPQWvCQBSE74X+h+UVvNVNBUWjqxRR8FqVgLdH9pkE&#10;s2/j7lPjv+8WCh6HmfmGWax616o7hdh4NvA1zEARl942XBk4HrafU1BRkC22nsnAkyKslu9vC8yt&#10;f/AP3fdSqQThmKOBWqTLtY5lTQ7j0HfEyTv74FCSDJW2AR8J7lo9yrKJdthwWqixo3VN5WV/cwau&#10;xVl4eutmEy4KH06yaU9yNGbw0X/PQQn18gr/t3fWwGgMf1/SD9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Y5jTBAAAA2wAAAA8AAAAAAAAAAAAAAAAAmAIAAGRycy9kb3du&#10;cmV2LnhtbFBLBQYAAAAABAAEAPUAAACGAwAAAAA=&#10;" fillcolor="#7f7f7f" strokecolor="window">
                    <v:fill opacity="35466f"/>
                    <v:textbox inset="1.8pt,1.8pt,1.8pt,1.8pt">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Pr="00F12857" w:rsidRDefault="006D49F1" w:rsidP="006D49F1">
                          <w:pPr>
                            <w:pStyle w:val="NormalnyWeb"/>
                            <w:spacing w:before="0" w:beforeAutospacing="0" w:after="0" w:afterAutospacing="0"/>
                            <w:jc w:val="center"/>
                            <w:rPr>
                              <w:rFonts w:ascii="Calibri" w:hAnsi="Calibri"/>
                              <w:b/>
                              <w:bCs/>
                              <w:color w:val="000000"/>
                            </w:rPr>
                          </w:pPr>
                          <w:r w:rsidRPr="00F12857">
                            <w:rPr>
                              <w:rFonts w:ascii="Calibri" w:hAnsi="Calibri"/>
                              <w:b/>
                              <w:bCs/>
                              <w:color w:val="000000"/>
                            </w:rPr>
                            <w:t>CEL – główna aspiracja</w:t>
                          </w:r>
                        </w:p>
                        <w:p w:rsidR="006D49F1" w:rsidRDefault="006D49F1" w:rsidP="006D49F1">
                          <w:pPr>
                            <w:pStyle w:val="NormalnyWeb"/>
                            <w:spacing w:before="0" w:beforeAutospacing="0" w:after="0" w:afterAutospacing="0"/>
                            <w:jc w:val="center"/>
                          </w:pPr>
                          <w:r>
                            <w:rPr>
                              <w:rFonts w:ascii="Calibri" w:hAnsi="Calibri"/>
                              <w:color w:val="000000"/>
                            </w:rPr>
                            <w:t>Po co?</w:t>
                          </w:r>
                        </w:p>
                      </w:txbxContent>
                    </v:textbox>
                  </v:rect>
                </v:group>
                <v:group id="Group 16" o:spid="_x0000_s1030" style="position:absolute;left:5409;top:14495;width:20;height:7" coordorigin="5409,1449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7" o:spid="_x0000_s1031" style="position:absolute;left:5409;top:14495;width:200;height:200;visibility:visible;mso-wrap-style:square;v-text-anchor:top" coordsize="20000,20000" o:bwmode="whit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i5sYA&#10;AADbAAAADwAAAGRycy9kb3ducmV2LnhtbESPQWvCQBSE74L/YXlCL6IbA20ldRNEKpRCxaqHHh/Z&#10;ZxLNvg3ZNcb++m5B8DjMzDfMIutNLTpqXWVZwWwagSDOra64UHDYrydzEM4ja6wtk4IbOcjS4WCB&#10;ibZX/qZu5wsRIOwSVFB63yRSurwkg25qG+LgHW1r0AfZFlK3eA1wU8s4il6kwYrDQokNrUrKz7uL&#10;UfD59btZncZus55dnrcdv9rbe/6j1NOoX76B8NT7R/je/tAK4hj+v4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pi5sYAAADbAAAADwAAAAAAAAAAAAAAAACYAgAAZHJz&#10;L2Rvd25yZXYueG1sUEsFBgAAAAAEAAQA9QAAAIsDAAAAAA==&#10;" path="m,l,20000r20000,l20000,,,e" filled="f" strokecolor="#711e14" strokeweight="1pt">
                    <v:stroke joinstyle="miter"/>
                    <v:path arrowok="t" o:connecttype="custom" o:connectlocs="0,0;0,20000;20000,20000;20000,0;0,0" o:connectangles="0,0,0,0,0"/>
                  </v:shape>
                  <v:rect id="Rectangle 18" o:spid="_x0000_s1032" style="position:absolute;left:5409;top:14495;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3b28EA&#10;AADbAAAADwAAAGRycy9kb3ducmV2LnhtbESPQWvCQBSE74X+h+UVvNVNFUSjqxRR8FqVgLdH9pkE&#10;s2/j7lPjv+8WCh6HmfmGWax616o7hdh4NvA1zEARl942XBk4HrafU1BRkC22nsnAkyKslu9vC8yt&#10;f/AP3fdSqQThmKOBWqTLtY5lTQ7j0HfEyTv74FCSDJW2AR8J7lo9yrKJdthwWqixo3VN5WV/cwau&#10;xVl4eutmEy4KH06yaU9yNGbw0X/PQQn18gr/t3fWwGgMf1/SD9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929vBAAAA2wAAAA8AAAAAAAAAAAAAAAAAmAIAAGRycy9kb3du&#10;cmV2LnhtbFBLBQYAAAAABAAEAPUAAACGAwAAAAA=&#10;" fillcolor="#7f7f7f" strokecolor="window">
                    <v:fill opacity="35466f"/>
                    <v:textbox inset="1.8pt,1.8pt,1.8pt,1.8pt">
                      <w:txbxContent>
                        <w:p w:rsidR="006D49F1" w:rsidRDefault="006D49F1" w:rsidP="006D49F1">
                          <w:pPr>
                            <w:pStyle w:val="NormalnyWeb"/>
                            <w:spacing w:before="0" w:beforeAutospacing="0" w:after="0" w:afterAutospacing="0"/>
                            <w:jc w:val="center"/>
                          </w:pPr>
                          <w:r>
                            <w:rPr>
                              <w:rFonts w:ascii="Calibri" w:hAnsi="Calibri"/>
                              <w:b/>
                              <w:bCs/>
                              <w:color w:val="000000"/>
                            </w:rPr>
                            <w:t>DOMENY STRATEGICZNEGO ROZWOJU</w:t>
                          </w:r>
                        </w:p>
                        <w:p w:rsidR="006D49F1" w:rsidRDefault="006D49F1" w:rsidP="006D49F1">
                          <w:pPr>
                            <w:pStyle w:val="NormalnyWeb"/>
                            <w:spacing w:before="0" w:beforeAutospacing="0" w:after="0" w:afterAutospacing="0"/>
                            <w:jc w:val="center"/>
                          </w:pPr>
                          <w:r>
                            <w:rPr>
                              <w:rFonts w:ascii="Calibri" w:hAnsi="Calibri"/>
                              <w:color w:val="000000"/>
                            </w:rPr>
                            <w:t>W jakich obszarach działamy?</w:t>
                          </w:r>
                        </w:p>
                        <w:p w:rsidR="006D49F1" w:rsidRDefault="006D49F1" w:rsidP="006D49F1">
                          <w:pPr>
                            <w:pStyle w:val="NormalnyWeb"/>
                            <w:spacing w:before="0" w:beforeAutospacing="0" w:after="0" w:afterAutospacing="0"/>
                            <w:jc w:val="center"/>
                          </w:pPr>
                          <w:r>
                            <w:rPr>
                              <w:rFonts w:ascii="Calibri" w:hAnsi="Calibri"/>
                              <w:color w:val="000000"/>
                            </w:rPr>
                            <w:t>Czym się zajmujemy?</w:t>
                          </w:r>
                        </w:p>
                      </w:txbxContent>
                    </v:textbox>
                  </v:rect>
                </v:group>
                <v:group id="Group 19" o:spid="_x0000_s1033" style="position:absolute;left:5395;top:14487;width:21;height:7" coordorigin="5395,14487"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20" o:spid="_x0000_s1034" style="position:absolute;left:5395;top:14487;width:200;height:2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j6MEA&#10;AADbAAAADwAAAGRycy9kb3ducmV2LnhtbERPTYvCMBC9L+x/CLPgZdFUD2WpRtkVBA8q2IribWjG&#10;ttpMShNt/ffmIOzx8b5ni97U4kGtqywrGI8iEMS51RUXCg7ZavgDwnlkjbVlUvAkB4v558cME207&#10;3tMj9YUIIewSVFB63yRSurwkg25kG+LAXWxr0AfYFlK32IVwU8tJFMXSYMWhocSGliXlt/RuFGyy&#10;q+Td87uL4/R0O9rzX7qlXqnBV/87BeGp9//it3utFUzC+vAl/A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DI+jBAAAA2wAAAA8AAAAAAAAAAAAAAAAAmAIAAGRycy9kb3du&#10;cmV2LnhtbFBLBQYAAAAABAAEAPUAAACGAwAAAAA=&#10;" path="m,l,20000r20000,l20000,,,e" filled="f" strokecolor="#711e14" strokeweight="1pt">
                    <v:stroke joinstyle="miter"/>
                    <v:path arrowok="t" o:connecttype="custom" o:connectlocs="0,0;0,20000;20000,20000;20000,0;0,0" o:connectangles="0,0,0,0,0"/>
                  </v:shape>
                  <v:rect id="Rectangle 21" o:spid="_x0000_s1035" style="position:absolute;left:5395;top:14487;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gN8EA&#10;AADbAAAADwAAAGRycy9kb3ducmV2LnhtbESPzYrCQBCE74LvMLTgTSd6EDc6yiK7sFd/CHhrMm0S&#10;NtMTZ1rNvr0jCHssquorar3tXavuFGLj2cBsmoEiLr1tuDJwOn5PlqCiIFtsPZOBP4qw3QwHa8yt&#10;f/Ce7gepVIJwzNFALdLlWseyJodx6jvi5F18cChJhkrbgI8Ed62eZ9lCO2w4LdTY0a6m8vdwcwau&#10;xUV4ees+FlwUPpzlqz3LyZjxqP9cgRLq5T/8bv9YA/MZvL6kH6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j4DfBAAAA2wAAAA8AAAAAAAAAAAAAAAAAmAIAAGRycy9kb3du&#10;cmV2LnhtbFBLBQYAAAAABAAEAPUAAACGAwAAAAA=&#10;" fillcolor="#7f7f7f" strokecolor="window">
                    <v:fill opacity="35466f"/>
                    <v:textbox inset="1.8pt,1.8pt,1.8pt,1.8pt">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Default="006D49F1" w:rsidP="006D49F1">
                          <w:pPr>
                            <w:pStyle w:val="NormalnyWeb"/>
                            <w:spacing w:before="0" w:beforeAutospacing="0" w:after="0" w:afterAutospacing="0"/>
                            <w:jc w:val="center"/>
                          </w:pPr>
                          <w:r>
                            <w:rPr>
                              <w:rFonts w:ascii="Calibri" w:hAnsi="Calibri"/>
                              <w:b/>
                              <w:bCs/>
                              <w:color w:val="000000"/>
                            </w:rPr>
                            <w:t>WARTOŚCI</w:t>
                          </w:r>
                        </w:p>
                        <w:p w:rsidR="006D49F1" w:rsidRDefault="006D49F1" w:rsidP="006D49F1">
                          <w:pPr>
                            <w:pStyle w:val="NormalnyWeb"/>
                            <w:kinsoku w:val="0"/>
                            <w:overflowPunct w:val="0"/>
                            <w:spacing w:before="0" w:beforeAutospacing="0" w:after="0" w:afterAutospacing="0"/>
                            <w:jc w:val="center"/>
                          </w:pPr>
                          <w:r>
                            <w:rPr>
                              <w:rFonts w:ascii="Calibri" w:hAnsi="Calibri"/>
                              <w:color w:val="000000"/>
                            </w:rPr>
                            <w:t>W co wierzymy?</w:t>
                          </w:r>
                        </w:p>
                        <w:p w:rsidR="006D49F1" w:rsidRDefault="006D49F1" w:rsidP="006D49F1">
                          <w:pPr>
                            <w:pStyle w:val="NormalnyWeb"/>
                            <w:spacing w:before="0" w:beforeAutospacing="0" w:after="0" w:afterAutospacing="0"/>
                            <w:jc w:val="center"/>
                          </w:pPr>
                          <w:r>
                            <w:rPr>
                              <w:rFonts w:ascii="Calibri" w:hAnsi="Calibri"/>
                              <w:color w:val="000000"/>
                            </w:rPr>
                            <w:t>Jakie wyznajemy zasady?</w:t>
                          </w:r>
                          <w:r>
                            <w:rPr>
                              <w:rFonts w:ascii="Calibri" w:hAnsi="Calibri"/>
                              <w:b/>
                              <w:bCs/>
                              <w:color w:val="000000"/>
                            </w:rPr>
                            <w:t xml:space="preserve"> </w:t>
                          </w:r>
                        </w:p>
                      </w:txbxContent>
                    </v:textbox>
                  </v:rect>
                </v:group>
                <v:group id="Group 22" o:spid="_x0000_s1036" style="position:absolute;left:5423;top:14487;width:21;height:7" coordorigin="5423,14487"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23" o:spid="_x0000_s1037" style="position:absolute;left:5423;top:14487;width:200;height:200;visibility:visible;mso-wrap-style:square;v-text-anchor:top" coordsize="20000,20000" o:bwmode="whit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6fscYA&#10;AADbAAAADwAAAGRycy9kb3ducmV2LnhtbESPQWvCQBCF70L/wzKCl6IbC7UldZUiFaSgWOuhxyE7&#10;JtHsbMiuMfrrnUPB2wzvzXvfTOedq1RLTSg9GxiPElDEmbcl5wb2v8vhO6gQkS1WnsnAlQLMZ0+9&#10;KabWX/iH2l3MlYRwSNFAEWOdah2yghyGka+JRTv4xmGUtcm1bfAi4a7SL0ky0Q5LloYCa1oUlJ12&#10;Z2fge33bLI7PYbMcn1+3Lb/561f2Z8yg331+gIrUxYf5/3plBV9g5RcZQ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6fscYAAADbAAAADwAAAAAAAAAAAAAAAACYAgAAZHJz&#10;L2Rvd25yZXYueG1sUEsFBgAAAAAEAAQA9QAAAIsDAAAAAA==&#10;" path="m,l,20000r20000,l20000,,,e" filled="f" strokecolor="#711e14" strokeweight="1pt">
                    <v:stroke joinstyle="miter"/>
                    <v:path arrowok="t" o:connecttype="custom" o:connectlocs="0,0;0,20000;20000,20000;20000,0;0,0" o:connectangles="0,0,0,0,0"/>
                  </v:shape>
                  <v:rect id="Rectangle 24" o:spid="_x0000_s1038" style="position:absolute;left:5423;top:14487;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jL4A&#10;AADbAAAADwAAAGRycy9kb3ducmV2LnhtbERPTYvCMBC9C/6HMMLeNNWDaNcoIgpedaXgbWjGtmwz&#10;qcmo9d9vFhb2No/3OatN71r1pBAbzwamkwwUceltw5WBy9dhvAAVBdli65kMvCnCZj0crDC3/sUn&#10;ep6lUimEY44GapEu1zqWNTmME98RJ+7mg0NJMFTaBnylcNfqWZbNtcOGU0ONHe1qKr/PD2fgXtyE&#10;F49uOeei8OEq+/YqF2M+Rv32E5RQL//iP/fRpvlL+P0lHaDX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p5Joy+AAAA2wAAAA8AAAAAAAAAAAAAAAAAmAIAAGRycy9kb3ducmV2&#10;LnhtbFBLBQYAAAAABAAEAPUAAACDAwAAAAA=&#10;" fillcolor="#7f7f7f" strokecolor="window">
                    <v:fill opacity="35466f"/>
                    <v:textbox inset="1.8pt,1.8pt,1.8pt,1.8pt">
                      <w:txbxContent>
                        <w:p w:rsidR="006D49F1" w:rsidRDefault="006D49F1" w:rsidP="006D49F1">
                          <w:pPr>
                            <w:pStyle w:val="NormalnyWeb"/>
                            <w:spacing w:before="0" w:beforeAutospacing="0" w:after="0" w:afterAutospacing="0"/>
                            <w:jc w:val="center"/>
                            <w:rPr>
                              <w:rFonts w:ascii="Calibri" w:hAnsi="Calibri"/>
                              <w:b/>
                              <w:bCs/>
                              <w:color w:val="000000"/>
                            </w:rPr>
                          </w:pPr>
                        </w:p>
                        <w:p w:rsidR="006D49F1" w:rsidRDefault="006D49F1" w:rsidP="006D49F1">
                          <w:pPr>
                            <w:pStyle w:val="NormalnyWeb"/>
                            <w:spacing w:before="0" w:beforeAutospacing="0" w:after="0" w:afterAutospacing="0"/>
                            <w:jc w:val="center"/>
                          </w:pPr>
                          <w:r>
                            <w:rPr>
                              <w:rFonts w:ascii="Calibri" w:hAnsi="Calibri"/>
                              <w:b/>
                              <w:bCs/>
                              <w:color w:val="000000"/>
                            </w:rPr>
                            <w:t>STANDARDY ZACHOWAŃ</w:t>
                          </w:r>
                        </w:p>
                        <w:p w:rsidR="006D49F1" w:rsidRDefault="006D49F1" w:rsidP="006D49F1">
                          <w:pPr>
                            <w:pStyle w:val="NormalnyWeb"/>
                            <w:spacing w:before="0" w:beforeAutospacing="0" w:after="0" w:afterAutospacing="0"/>
                            <w:jc w:val="center"/>
                          </w:pPr>
                          <w:r>
                            <w:rPr>
                              <w:rFonts w:ascii="Calibri" w:hAnsi="Calibri"/>
                              <w:color w:val="000000"/>
                            </w:rPr>
                            <w:t>W jaki sposób działamy?</w:t>
                          </w:r>
                        </w:p>
                      </w:txbxContent>
                    </v:textbox>
                  </v:rect>
                </v:group>
                <v:line id="Line 25" o:spid="_x0000_s1039" style="position:absolute;flip:x;visibility:visible;mso-wrap-style:square" from="5408,14484" to="5412,14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WtMAAAADbAAAADwAAAGRycy9kb3ducmV2LnhtbERPS4vCMBC+C/sfwix403RFVKpRdhcU&#10;j2q97G22mT40mZQmav33RhC8zcf3nMWqs0ZcqfW1YwVfwwQEce50zaWCY7YezED4gKzROCYFd/Kw&#10;Wn70Fphqd+M9XQ+hFDGEfYoKqhCaVEqfV2TRD11DHLnCtRZDhG0pdYu3GG6NHCXJRFqsOTZU2NBv&#10;Rfn5cLEKNn+Xwkz/z6et2WfT3c+ouHe5VKr/2X3PQQTqwlv8cm91nD+G5y/xAL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hFrTAAAAA2wAAAA8AAAAAAAAAAAAAAAAA&#10;oQIAAGRycy9kb3ducmV2LnhtbFBLBQYAAAAABAAEAPkAAACOAwAAAAA=&#10;" filled="t" strokecolor="#7f7f7f" strokeweight="2.5pt">
                  <v:fill r:id="rId11" o:title="" recolor="t" rotate="t" type="tile"/>
                  <v:stroke joinstyle="miter"/>
                  <v:imagedata recolortarget="#810"/>
                </v:line>
                <v:line id="Line 26" o:spid="_x0000_s1040" style="position:absolute;visibility:visible;mso-wrap-style:square" from="5407,14494" to="5409,14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57A8IAAADbAAAADwAAAGRycy9kb3ducmV2LnhtbERPzWrCQBC+F/oOyxR6CbpRqNjoKqFp&#10;QcipsQ8w7o5JbHY2ZFeTvr1bKPQ2H9/vbPeT7cSNBt86VrCYpyCItTMt1wq+jh+zNQgfkA12jknB&#10;D3nY7x4ftpgZN/In3apQixjCPkMFTQh9JqXXDVn0c9cTR+7sBoshwqGWZsAxhttOLtN0JS22HBsa&#10;7OmtIf1dXa0CPV6K9xUWp0uVUPmaLNdlnWulnp+mfAMi0BT+xX/ug4nzX+D3l3i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p57A8IAAADbAAAADwAAAAAAAAAAAAAA&#10;AAChAgAAZHJzL2Rvd25yZXYueG1sUEsFBgAAAAAEAAQA+QAAAJADAAAAAA==&#10;" filled="t" strokecolor="#7f7f7f" strokeweight="2.5pt">
                  <v:fill r:id="rId11" o:title="" recolor="t" rotate="t" type="tile"/>
                  <v:stroke joinstyle="miter"/>
                  <v:imagedata recolortarget="#810"/>
                </v:line>
                <v:line id="Line 27" o:spid="_x0000_s1041" style="position:absolute;flip:x;visibility:visible;mso-wrap-style:square" from="5429,14494" to="5431,14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tWMAAAADbAAAADwAAAGRycy9kb3ducmV2LnhtbERPS4vCMBC+C/sfwix401QPKl1jWRdW&#10;PPq6eJttpo9tMilN1PrvjSB4m4/vOcust0ZcqfO1YwWTcQKCOHe65lLB6fg7WoDwAVmjcUwK7uQh&#10;W30Mlphqd+M9XQ+hFDGEfYoKqhDaVEqfV2TRj11LHLnCdRZDhF0pdYe3GG6NnCbJTFqsOTZU2NJP&#10;RXlzuFgFm/OlMPO/5n9r9sf5bj0t7n0ulRp+9t9fIAL14S1+ubc6zp/B85d4gF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LVjAAAAA2wAAAA8AAAAAAAAAAAAAAAAA&#10;oQIAAGRycy9kb3ducmV2LnhtbFBLBQYAAAAABAAEAPkAAACOAwAAAAA=&#10;" filled="t" strokecolor="#7f7f7f" strokeweight="2.5pt">
                  <v:fill r:id="rId11" o:title="" recolor="t" rotate="t" type="tile"/>
                  <v:stroke joinstyle="miter"/>
                  <v:imagedata recolortarget="#810"/>
                </v:line>
                <v:line id="Line 28" o:spid="_x0000_s1042" style="position:absolute;flip:x y;visibility:visible;mso-wrap-style:square" from="5425,14484" to="5429,14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tHnMEAAADbAAAADwAAAGRycy9kb3ducmV2LnhtbERPzWoCMRC+F3yHMIK3mt0ebFmNIopF&#10;oVK0fYBxM24WN5NlE9f49kYo9DYf3+/MFtE2oqfO144V5OMMBHHpdM2Vgt+fzesHCB+QNTaOScGd&#10;PCzmg5cZFtrd+ED9MVQihbAvUIEJoS2k9KUhi37sWuLEnV1nMSTYVVJ3eEvhtpFvWTaRFmtODQZb&#10;WhkqL8erVWCv0cj1YTXZX073Mv/67Hd5/FZqNIzLKYhAMfyL/9xbnea/w/OXdI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i0ecwQAAANsAAAAPAAAAAAAAAAAAAAAA&#10;AKECAABkcnMvZG93bnJldi54bWxQSwUGAAAAAAQABAD5AAAAjwMAAAAA&#10;" filled="t" strokecolor="#7f7f7f" strokeweight="2.5pt">
                  <v:fill r:id="rId11" o:title="" recolor="t" rotate="t" type="tile"/>
                  <v:stroke joinstyle="miter"/>
                  <v:imagedata recolortarget="#810"/>
                </v:line>
                <w10:anchorlock/>
              </v:group>
            </w:pict>
          </mc:Fallback>
        </mc:AlternateContent>
      </w:r>
    </w:p>
    <w:p w:rsidR="00500543" w:rsidRPr="00531DE6" w:rsidRDefault="00500543" w:rsidP="006C5AF1">
      <w:pPr>
        <w:jc w:val="center"/>
        <w:rPr>
          <w:rFonts w:ascii="Candara" w:hAnsi="Candara"/>
          <w:b/>
          <w:color w:val="4F81BD"/>
        </w:rPr>
      </w:pPr>
    </w:p>
    <w:p w:rsidR="006C5AF1" w:rsidRPr="00531DE6" w:rsidRDefault="006C5AF1" w:rsidP="006C5AF1">
      <w:pPr>
        <w:jc w:val="center"/>
        <w:rPr>
          <w:rFonts w:ascii="Candara" w:hAnsi="Candara"/>
          <w:b/>
          <w:color w:val="4F81BD"/>
        </w:rPr>
      </w:pPr>
      <w:r w:rsidRPr="00531DE6">
        <w:rPr>
          <w:rFonts w:ascii="Candara" w:hAnsi="Candara"/>
          <w:b/>
          <w:color w:val="4F81BD"/>
        </w:rPr>
        <w:t xml:space="preserve">Misja rozwoju </w:t>
      </w:r>
      <w:r w:rsidRPr="00531DE6">
        <w:rPr>
          <w:rFonts w:ascii="Candara" w:hAnsi="Candara"/>
          <w:b/>
          <w:color w:val="4F81BD"/>
          <w:u w:val="single"/>
        </w:rPr>
        <w:t xml:space="preserve">LGD Korona Sądecka </w:t>
      </w:r>
      <w:r w:rsidRPr="00531DE6">
        <w:rPr>
          <w:rFonts w:ascii="Candara" w:hAnsi="Candara"/>
          <w:b/>
          <w:color w:val="4F81BD"/>
        </w:rPr>
        <w:t>– zapis wyników prac warsztatowych</w:t>
      </w:r>
    </w:p>
    <w:p w:rsidR="006C5AF1" w:rsidRPr="00531DE6" w:rsidRDefault="006C5AF1" w:rsidP="006C5AF1">
      <w:pPr>
        <w:shd w:val="clear" w:color="auto" w:fill="8496B0" w:themeFill="text2" w:themeFillTint="99"/>
        <w:spacing w:before="120"/>
        <w:outlineLvl w:val="0"/>
        <w:rPr>
          <w:rFonts w:ascii="Candara" w:hAnsi="Candara"/>
          <w:b/>
          <w:color w:val="FFFFFF" w:themeColor="background1"/>
        </w:rPr>
      </w:pPr>
      <w:r w:rsidRPr="00531DE6">
        <w:rPr>
          <w:rFonts w:ascii="Candara" w:hAnsi="Candara"/>
          <w:b/>
          <w:color w:val="FFFFFF" w:themeColor="background1"/>
        </w:rPr>
        <w:t>Cel</w:t>
      </w:r>
    </w:p>
    <w:p w:rsidR="006C5AF1" w:rsidRPr="00531DE6" w:rsidRDefault="006C5AF1" w:rsidP="006C5AF1">
      <w:pPr>
        <w:jc w:val="both"/>
        <w:rPr>
          <w:rFonts w:ascii="Candara" w:hAnsi="Candara"/>
          <w:b/>
          <w:u w:val="single"/>
        </w:rPr>
      </w:pPr>
      <w:r w:rsidRPr="00531DE6">
        <w:rPr>
          <w:rFonts w:ascii="Candara" w:hAnsi="Candara"/>
          <w:b/>
          <w:u w:val="single"/>
        </w:rPr>
        <w:t>Proponowane brzmienie celu – głównej aspiracji:</w:t>
      </w:r>
    </w:p>
    <w:p w:rsidR="003D597B" w:rsidRPr="00531DE6" w:rsidRDefault="00623CB3" w:rsidP="006C5AF1">
      <w:pPr>
        <w:jc w:val="both"/>
        <w:rPr>
          <w:rFonts w:ascii="Candara" w:hAnsi="Candara"/>
        </w:rPr>
      </w:pPr>
      <w:r w:rsidRPr="00531DE6">
        <w:rPr>
          <w:rFonts w:ascii="Candara" w:hAnsi="Candara"/>
        </w:rPr>
        <w:t xml:space="preserve">Obszar Lokalnej Grupy Działania Korona Sądecka rozwija się w sposób zrównoważony by stworzyć mieszkańcom wysokiej jakości przestrzeń do </w:t>
      </w:r>
      <w:r w:rsidR="00EE7BBA" w:rsidRPr="00531DE6">
        <w:rPr>
          <w:rFonts w:ascii="Candara" w:hAnsi="Candara"/>
        </w:rPr>
        <w:t>pracy oraz życia, a</w:t>
      </w:r>
      <w:r w:rsidRPr="00531DE6">
        <w:rPr>
          <w:rFonts w:ascii="Candara" w:hAnsi="Candara"/>
        </w:rPr>
        <w:t xml:space="preserve"> </w:t>
      </w:r>
      <w:r w:rsidR="00C2680A" w:rsidRPr="00531DE6">
        <w:rPr>
          <w:rFonts w:ascii="Candara" w:hAnsi="Candara"/>
        </w:rPr>
        <w:t>równocześnie</w:t>
      </w:r>
      <w:r w:rsidRPr="00531DE6">
        <w:rPr>
          <w:rFonts w:ascii="Candara" w:hAnsi="Candara"/>
        </w:rPr>
        <w:t xml:space="preserve"> </w:t>
      </w:r>
      <w:r w:rsidR="00C2680A" w:rsidRPr="00531DE6">
        <w:rPr>
          <w:rFonts w:ascii="Candara" w:hAnsi="Candara"/>
        </w:rPr>
        <w:t>być atrakcyjnym</w:t>
      </w:r>
      <w:r w:rsidR="00EE7BBA" w:rsidRPr="00531DE6">
        <w:rPr>
          <w:rFonts w:ascii="Candara" w:hAnsi="Candara"/>
        </w:rPr>
        <w:t xml:space="preserve"> obszarem do działalności rekreacyjnej i turystycznej</w:t>
      </w:r>
      <w:r w:rsidR="00C2680A" w:rsidRPr="00531DE6">
        <w:rPr>
          <w:rFonts w:ascii="Candara" w:hAnsi="Candara"/>
        </w:rPr>
        <w:t xml:space="preserve">. LGD czerpie z dziedzictwa, lokalnych potencjałów i specyfik inspirację do budowania oferty kulturalnej i turystycznej, </w:t>
      </w:r>
      <w:r w:rsidR="00C2680A" w:rsidRPr="00531DE6">
        <w:rPr>
          <w:rFonts w:ascii="Candara" w:hAnsi="Candara"/>
        </w:rPr>
        <w:lastRenderedPageBreak/>
        <w:t xml:space="preserve">promującej atrakcyjność aktywnego wypoczynku, poznawania miejscowych zwyczajów i tradycji (sztuka, rzemiosło, historia). Główną aspiracją jest wspieranie działań na rzecz rozwoju przedsiębiorczości i aktywności zawodowej, ze szczególnym uwzględnieniem osób młodych. Ponadto </w:t>
      </w:r>
      <w:r w:rsidR="006C5AF1" w:rsidRPr="00531DE6">
        <w:rPr>
          <w:rFonts w:ascii="Candara" w:hAnsi="Candara"/>
        </w:rPr>
        <w:t>na obszarze LGD podejmowane są działania na rzecz budowy wysokiej jakości infrastruktury społecznej i</w:t>
      </w:r>
      <w:r w:rsidR="00500543" w:rsidRPr="00531DE6">
        <w:rPr>
          <w:rFonts w:ascii="Candara" w:hAnsi="Candara"/>
        </w:rPr>
        <w:t> </w:t>
      </w:r>
      <w:r w:rsidR="006C5AF1" w:rsidRPr="00531DE6">
        <w:rPr>
          <w:rFonts w:ascii="Candara" w:hAnsi="Candara"/>
        </w:rPr>
        <w:t xml:space="preserve">technicznej podnoszącej jakość życia i budującej pozytywny wizerunek wśród przyjezdnych. </w:t>
      </w:r>
    </w:p>
    <w:p w:rsidR="00D32B40" w:rsidRPr="00531DE6" w:rsidRDefault="00D32B40" w:rsidP="00D32B40">
      <w:pPr>
        <w:keepNext/>
        <w:shd w:val="clear" w:color="auto" w:fill="8496B0" w:themeFill="text2" w:themeFillTint="99"/>
        <w:spacing w:before="120"/>
        <w:outlineLvl w:val="0"/>
        <w:rPr>
          <w:rFonts w:ascii="Candara" w:hAnsi="Candara"/>
          <w:b/>
          <w:color w:val="FFFFFF" w:themeColor="background1"/>
        </w:rPr>
      </w:pPr>
      <w:r w:rsidRPr="00531DE6">
        <w:rPr>
          <w:rFonts w:ascii="Candara" w:hAnsi="Candara"/>
          <w:b/>
          <w:color w:val="FFFFFF" w:themeColor="background1"/>
        </w:rPr>
        <w:t>Domeny strategicznego rozwoju</w:t>
      </w:r>
    </w:p>
    <w:p w:rsidR="00D32B40" w:rsidRPr="00531DE6" w:rsidRDefault="00D32B40" w:rsidP="00D32B40">
      <w:pPr>
        <w:rPr>
          <w:rFonts w:ascii="Candara" w:hAnsi="Candara"/>
          <w:b/>
          <w:u w:val="single"/>
        </w:rPr>
      </w:pPr>
      <w:r w:rsidRPr="00531DE6">
        <w:rPr>
          <w:rFonts w:ascii="Candara" w:hAnsi="Candara"/>
          <w:b/>
          <w:u w:val="single"/>
        </w:rPr>
        <w:t>Proponowane domeny:</w:t>
      </w:r>
    </w:p>
    <w:p w:rsidR="00D32B40" w:rsidRPr="00531DE6" w:rsidRDefault="00D32B40" w:rsidP="00D32B40">
      <w:pPr>
        <w:jc w:val="both"/>
        <w:rPr>
          <w:rFonts w:ascii="Candara" w:hAnsi="Candara"/>
          <w:b/>
        </w:rPr>
      </w:pPr>
      <w:r w:rsidRPr="00531DE6">
        <w:rPr>
          <w:rFonts w:ascii="Candara" w:hAnsi="Candara"/>
          <w:b/>
        </w:rPr>
        <w:t>Domena 1. Rozwój i promowanie przedsiębiorczości</w:t>
      </w:r>
    </w:p>
    <w:p w:rsidR="00D32B40" w:rsidRPr="00531DE6" w:rsidRDefault="00D32B40" w:rsidP="00D32B40">
      <w:pPr>
        <w:jc w:val="both"/>
        <w:rPr>
          <w:rFonts w:ascii="Candara" w:hAnsi="Candara"/>
        </w:rPr>
      </w:pPr>
      <w:r w:rsidRPr="00531DE6">
        <w:rPr>
          <w:rFonts w:ascii="Candara" w:hAnsi="Candara"/>
        </w:rPr>
        <w:t xml:space="preserve">Obszar ten obejmuje działania nastawione na rozbudzanie postaw przedsiębiorczych u dzieci i młodzieży poprzez realizacje różnego typu programów edukacyjnych, konkursów i działań promujących aktywność zawodową. W ramach domeny realizowane będą działania sprzyjające tworzeniu nowych miejsc pracy, w tym zakładaniu działalności gospodarczej. Nowe biznesy, które będą szczególnie wspierane powinny być osadzone w lokalnej specyfice i wspierać rozwój obszaru LGD w obszarze turystyki i tworzenia wysokiej jakości przestrzeni do życia dla każdego z mieszkańców. Pośrednio obszar ten ma także oddziaływać na dynamizowanie lokalnego rynku prazy wspierają podnoszenie kwalifikacji i lepsze przygotowanie do wejścia lub powrotu na rynek pracy osób bezrobotnych. </w:t>
      </w:r>
    </w:p>
    <w:p w:rsidR="00D32B40" w:rsidRPr="00531DE6" w:rsidRDefault="00D32B40" w:rsidP="00D32B40">
      <w:pPr>
        <w:jc w:val="both"/>
        <w:rPr>
          <w:rFonts w:ascii="Candara" w:hAnsi="Candara"/>
          <w:b/>
        </w:rPr>
      </w:pPr>
      <w:r w:rsidRPr="00531DE6">
        <w:rPr>
          <w:rFonts w:ascii="Candara" w:hAnsi="Candara"/>
          <w:b/>
        </w:rPr>
        <w:t>Domena 2. Oferta turystyczna, kulturalna i rekreacyjna bazująca na lokalnych potencjałach</w:t>
      </w:r>
    </w:p>
    <w:p w:rsidR="00D32B40" w:rsidRPr="00531DE6" w:rsidRDefault="00D32B40" w:rsidP="00D32B40">
      <w:pPr>
        <w:jc w:val="both"/>
        <w:rPr>
          <w:rFonts w:ascii="Candara" w:hAnsi="Candara"/>
        </w:rPr>
      </w:pPr>
      <w:r w:rsidRPr="00531DE6">
        <w:rPr>
          <w:rFonts w:ascii="Candara" w:hAnsi="Candara"/>
        </w:rPr>
        <w:t>Domena druga koncentruje się wspieraniu rozwoju oferty i infrastruktury sprzyjającej podnoszeniu atrakcyjności turystycznej obszaru LGD. W jej ramach promowane będą działania obejmujące m.in. organizowanie nowych wydarzeń kulturalnych i tworzenie nowych lub rozwijanie obecnych produktów turystycznych, mogących przyciągać turystów w skali regionalnej i ponadregionalnej. Ważnym jest by wszelkie formy oferty kulturalnej i turystycznej nawiązywały, eksponowały i promowały lokalną specyfikę i walory – piękno przyrody, ciszę, małomiasteczkowy klimat, lokalne produkty rzemiosła i kuchni. Konieczne jest także poszerzenie infrastruktury sportowej i rekreacyjnej, która pozwoli zatrzymać odwiedzających na dłużej na terenie LGD – oferta całosezonowa. W ramach domeny powinny być także rozwijane elementy infrastruktury towarzyszącej niezbędnej do dynamizowania ruchu turystycznego oraz tworzenia nowych miejsc pracy w zakresie gastronomii, bazy noclegowej, wypożyczalni sprzętu sportowego, animacji lokalnej itp. Działania podejmowane na rzecz turystów, nie mają być jedynymi. W ramach tej domeny podejmowane będą także działania na rzecz uatrakcyjnienie oferty kulturalnej i rekreacyjnej (w tym sportowej) dla mieszkańców LGD.</w:t>
      </w:r>
    </w:p>
    <w:p w:rsidR="00D32B40" w:rsidRPr="00531DE6" w:rsidRDefault="00D32B40" w:rsidP="00D32B40">
      <w:pPr>
        <w:jc w:val="both"/>
        <w:rPr>
          <w:rFonts w:ascii="Candara" w:hAnsi="Candara"/>
          <w:b/>
        </w:rPr>
      </w:pPr>
      <w:r w:rsidRPr="00531DE6">
        <w:rPr>
          <w:rFonts w:ascii="Candara" w:hAnsi="Candara"/>
          <w:b/>
        </w:rPr>
        <w:t>Domena 3. Rozwój wysokiej jakości przestrzeni do życia</w:t>
      </w:r>
    </w:p>
    <w:p w:rsidR="00D32B40" w:rsidRPr="00531DE6" w:rsidRDefault="00D32B40" w:rsidP="00D32B40">
      <w:pPr>
        <w:jc w:val="both"/>
        <w:rPr>
          <w:rFonts w:ascii="Candara" w:hAnsi="Candara"/>
        </w:rPr>
      </w:pPr>
      <w:r w:rsidRPr="00531DE6">
        <w:rPr>
          <w:rFonts w:ascii="Candara" w:hAnsi="Candara"/>
        </w:rPr>
        <w:t xml:space="preserve">Domena ta przede wszystkim koncentruje się na lepszym zagospodarowaniu miejscowości, przystosowaniu przestrzeni publicznej i infrastruktury komunikacyjnej do potrzeb mieszkańców – tworzenie miejsc spotkań, skwerów, placów, a także poprawa stanu infrastruktury drogowej (przebudowa dróg, budowa ścieżek rowerowych, rozbudowa oświetlenia ulicznego, poprawa bezpieczeństwa na drogach – pobocza i chodniki). W ramach domeny podejmowane będą także </w:t>
      </w:r>
      <w:r w:rsidRPr="00531DE6">
        <w:rPr>
          <w:rFonts w:ascii="Candara" w:hAnsi="Candara"/>
        </w:rPr>
        <w:lastRenderedPageBreak/>
        <w:t xml:space="preserve">działania pozwalające na poprawę jakości infrastruktury społecznej na terenie LGD – zwiększania miejsc w przedszkolach i żłobkach, powstawanie boisk sportowych i placów zabaw. Prowadzone będą także działania o charakterze proekologicznym i  wspierające uporządkowanie i estetyzację przestrzeni publicznej. </w:t>
      </w:r>
    </w:p>
    <w:p w:rsidR="00D32B40" w:rsidRPr="00531DE6" w:rsidRDefault="00D32B40" w:rsidP="00D32B40">
      <w:pPr>
        <w:keepNext/>
        <w:shd w:val="clear" w:color="auto" w:fill="8496B0" w:themeFill="text2" w:themeFillTint="99"/>
        <w:spacing w:before="120"/>
        <w:outlineLvl w:val="0"/>
        <w:rPr>
          <w:rFonts w:ascii="Candara" w:hAnsi="Candara"/>
          <w:b/>
          <w:color w:val="FFFFFF" w:themeColor="background1"/>
        </w:rPr>
      </w:pPr>
      <w:r w:rsidRPr="00531DE6">
        <w:rPr>
          <w:rFonts w:ascii="Candara" w:hAnsi="Candara"/>
          <w:b/>
          <w:color w:val="FFFFFF" w:themeColor="background1"/>
        </w:rPr>
        <w:t>Wartości</w:t>
      </w:r>
    </w:p>
    <w:p w:rsidR="00D32B40" w:rsidRPr="00531DE6" w:rsidRDefault="00D32B40" w:rsidP="00D32B40">
      <w:pPr>
        <w:rPr>
          <w:rFonts w:ascii="Candara" w:hAnsi="Candara"/>
          <w:b/>
          <w:u w:val="single"/>
        </w:rPr>
      </w:pPr>
      <w:r w:rsidRPr="00531DE6">
        <w:rPr>
          <w:rFonts w:ascii="Candara" w:hAnsi="Candara"/>
          <w:b/>
          <w:u w:val="single"/>
        </w:rPr>
        <w:t>Proponowane wartości:</w:t>
      </w:r>
    </w:p>
    <w:p w:rsidR="00D32B40" w:rsidRPr="00531DE6" w:rsidRDefault="00D32B40" w:rsidP="00E453E4">
      <w:pPr>
        <w:pStyle w:val="Akapitzlist"/>
        <w:rPr>
          <w:rFonts w:ascii="Candara" w:hAnsi="Candara"/>
        </w:rPr>
      </w:pPr>
      <w:r w:rsidRPr="00531DE6">
        <w:rPr>
          <w:rFonts w:ascii="Candara" w:hAnsi="Candara"/>
        </w:rPr>
        <w:t xml:space="preserve">Aktywność, </w:t>
      </w:r>
      <w:r w:rsidR="00EE7BBA" w:rsidRPr="00531DE6">
        <w:rPr>
          <w:rFonts w:ascii="Candara" w:hAnsi="Candara"/>
        </w:rPr>
        <w:t xml:space="preserve">indywidualna </w:t>
      </w:r>
      <w:r w:rsidRPr="00531DE6">
        <w:rPr>
          <w:rFonts w:ascii="Candara" w:hAnsi="Candara"/>
        </w:rPr>
        <w:t xml:space="preserve">przedsiębiorczość, </w:t>
      </w:r>
      <w:r w:rsidR="00EE7BBA" w:rsidRPr="00531DE6">
        <w:rPr>
          <w:rFonts w:ascii="Candara" w:hAnsi="Candara"/>
        </w:rPr>
        <w:t>zaradnoś</w:t>
      </w:r>
      <w:r w:rsidRPr="00531DE6">
        <w:rPr>
          <w:rFonts w:ascii="Candara" w:hAnsi="Candara"/>
        </w:rPr>
        <w:t>ć;</w:t>
      </w:r>
    </w:p>
    <w:p w:rsidR="00D32B40" w:rsidRPr="00531DE6" w:rsidRDefault="00EE7BBA" w:rsidP="00E453E4">
      <w:pPr>
        <w:pStyle w:val="Akapitzlist"/>
        <w:rPr>
          <w:rFonts w:ascii="Candara" w:hAnsi="Candara"/>
        </w:rPr>
      </w:pPr>
      <w:r w:rsidRPr="00531DE6">
        <w:rPr>
          <w:rFonts w:ascii="Candara" w:hAnsi="Candara"/>
        </w:rPr>
        <w:t>O</w:t>
      </w:r>
      <w:r w:rsidR="00D32B40" w:rsidRPr="00531DE6">
        <w:rPr>
          <w:rFonts w:ascii="Candara" w:hAnsi="Candara"/>
        </w:rPr>
        <w:t>twartość,</w:t>
      </w:r>
      <w:r w:rsidRPr="00531DE6">
        <w:rPr>
          <w:rFonts w:ascii="Candara" w:hAnsi="Candara"/>
        </w:rPr>
        <w:t xml:space="preserve"> sądecka</w:t>
      </w:r>
      <w:r w:rsidR="00D32B40" w:rsidRPr="00531DE6">
        <w:rPr>
          <w:rFonts w:ascii="Candara" w:hAnsi="Candara"/>
        </w:rPr>
        <w:t xml:space="preserve"> gościnność;</w:t>
      </w:r>
    </w:p>
    <w:p w:rsidR="00D32B40" w:rsidRPr="00531DE6" w:rsidRDefault="00D32B40" w:rsidP="00E453E4">
      <w:pPr>
        <w:pStyle w:val="Akapitzlist"/>
        <w:rPr>
          <w:rFonts w:ascii="Candara" w:hAnsi="Candara"/>
        </w:rPr>
      </w:pPr>
      <w:r w:rsidRPr="00531DE6">
        <w:rPr>
          <w:rFonts w:ascii="Candara" w:hAnsi="Candara"/>
        </w:rPr>
        <w:t>Indywidualizm</w:t>
      </w:r>
      <w:r w:rsidR="00EE7BBA" w:rsidRPr="00531DE6">
        <w:rPr>
          <w:rFonts w:ascii="Candara" w:hAnsi="Candara"/>
        </w:rPr>
        <w:t xml:space="preserve"> „co moje to nie rusz”</w:t>
      </w:r>
      <w:r w:rsidRPr="00531DE6">
        <w:rPr>
          <w:rFonts w:ascii="Candara" w:hAnsi="Candara"/>
        </w:rPr>
        <w:t>;</w:t>
      </w:r>
    </w:p>
    <w:p w:rsidR="00D32B40" w:rsidRPr="00531DE6" w:rsidRDefault="00D32B40" w:rsidP="00B84627">
      <w:pPr>
        <w:pStyle w:val="Akapitzlist"/>
        <w:rPr>
          <w:rFonts w:ascii="Candara" w:hAnsi="Candara"/>
        </w:rPr>
      </w:pPr>
      <w:r w:rsidRPr="00531DE6">
        <w:rPr>
          <w:rFonts w:ascii="Candara" w:hAnsi="Candara"/>
        </w:rPr>
        <w:t>Konserwatyzm</w:t>
      </w:r>
      <w:r w:rsidR="00EE7BBA" w:rsidRPr="00531DE6">
        <w:rPr>
          <w:rFonts w:ascii="Candara" w:hAnsi="Candara"/>
        </w:rPr>
        <w:t xml:space="preserve"> - p</w:t>
      </w:r>
      <w:r w:rsidRPr="00531DE6">
        <w:rPr>
          <w:rFonts w:ascii="Candara" w:hAnsi="Candara"/>
        </w:rPr>
        <w:t>rzywiązanie do tradycji rodzinnych i kulturowych.</w:t>
      </w:r>
    </w:p>
    <w:p w:rsidR="00D32B40" w:rsidRPr="00531DE6" w:rsidRDefault="00D32B40" w:rsidP="00D32B40">
      <w:pPr>
        <w:rPr>
          <w:rFonts w:ascii="Candara" w:hAnsi="Candara"/>
        </w:rPr>
      </w:pPr>
    </w:p>
    <w:p w:rsidR="0012570D" w:rsidRPr="00531DE6" w:rsidRDefault="0012570D" w:rsidP="006C5AF1">
      <w:pPr>
        <w:jc w:val="both"/>
        <w:rPr>
          <w:rFonts w:ascii="Candara" w:hAnsi="Candara"/>
          <w:b/>
        </w:rPr>
      </w:pPr>
      <w:r w:rsidRPr="00531DE6">
        <w:rPr>
          <w:rFonts w:ascii="Candara" w:hAnsi="Candara"/>
          <w:b/>
        </w:rPr>
        <w:t xml:space="preserve">Zidentyfikowane kluczowe problemy </w:t>
      </w:r>
    </w:p>
    <w:p w:rsidR="0012570D" w:rsidRPr="00531DE6" w:rsidRDefault="0012570D" w:rsidP="00E453E4">
      <w:pPr>
        <w:pStyle w:val="Akapitzlist"/>
        <w:rPr>
          <w:rFonts w:ascii="Candara" w:hAnsi="Candara"/>
        </w:rPr>
      </w:pPr>
      <w:r w:rsidRPr="00531DE6">
        <w:rPr>
          <w:rFonts w:ascii="Candara" w:hAnsi="Candara"/>
        </w:rPr>
        <w:t>Bezrobocie wśród młodzieży –</w:t>
      </w:r>
      <w:r w:rsidR="00E453E4" w:rsidRPr="00531DE6">
        <w:rPr>
          <w:rFonts w:ascii="Candara" w:hAnsi="Candara"/>
        </w:rPr>
        <w:t xml:space="preserve"> potrzeba </w:t>
      </w:r>
      <w:r w:rsidRPr="00531DE6">
        <w:rPr>
          <w:rFonts w:ascii="Candara" w:hAnsi="Candara"/>
        </w:rPr>
        <w:t>przeciwdziałania migracji wśród młodych</w:t>
      </w:r>
      <w:r w:rsidR="00E453E4" w:rsidRPr="00531DE6">
        <w:rPr>
          <w:rFonts w:ascii="Candara" w:hAnsi="Candara"/>
        </w:rPr>
        <w:t>;</w:t>
      </w:r>
    </w:p>
    <w:p w:rsidR="0012570D" w:rsidRPr="00531DE6" w:rsidRDefault="0012570D" w:rsidP="00E453E4">
      <w:pPr>
        <w:pStyle w:val="Akapitzlist"/>
        <w:rPr>
          <w:rFonts w:ascii="Candara" w:hAnsi="Candara"/>
        </w:rPr>
      </w:pPr>
      <w:r w:rsidRPr="00531DE6">
        <w:rPr>
          <w:rFonts w:ascii="Candara" w:hAnsi="Candara"/>
        </w:rPr>
        <w:t>Promowanie przedsiębiorczości – w ty</w:t>
      </w:r>
      <w:r w:rsidR="00E453E4" w:rsidRPr="00531DE6">
        <w:rPr>
          <w:rFonts w:ascii="Candara" w:hAnsi="Candara"/>
        </w:rPr>
        <w:t xml:space="preserve">m w obszarze sportu i rekreacji, </w:t>
      </w:r>
      <w:r w:rsidRPr="00531DE6">
        <w:rPr>
          <w:rFonts w:ascii="Candara" w:hAnsi="Candara"/>
        </w:rPr>
        <w:t>turystyki (mała gastronomia, wypożyczalnie sprzętu sportowego)</w:t>
      </w:r>
      <w:r w:rsidR="00E453E4" w:rsidRPr="00531DE6">
        <w:rPr>
          <w:rFonts w:ascii="Candara" w:hAnsi="Candara"/>
        </w:rPr>
        <w:t>;</w:t>
      </w:r>
    </w:p>
    <w:p w:rsidR="0012570D" w:rsidRPr="00531DE6" w:rsidRDefault="0012570D" w:rsidP="00E453E4">
      <w:pPr>
        <w:pStyle w:val="Akapitzlist"/>
        <w:rPr>
          <w:rFonts w:ascii="Candara" w:hAnsi="Candara"/>
        </w:rPr>
      </w:pPr>
      <w:r w:rsidRPr="00531DE6">
        <w:rPr>
          <w:rFonts w:ascii="Candara" w:hAnsi="Candara"/>
        </w:rPr>
        <w:t>Brak infrastruktury</w:t>
      </w:r>
      <w:r w:rsidR="00E453E4" w:rsidRPr="00531DE6">
        <w:rPr>
          <w:rFonts w:ascii="Candara" w:hAnsi="Candara"/>
        </w:rPr>
        <w:t xml:space="preserve"> </w:t>
      </w:r>
      <w:r w:rsidRPr="00531DE6">
        <w:rPr>
          <w:rFonts w:ascii="Candara" w:hAnsi="Candara"/>
        </w:rPr>
        <w:t>- zaplecza kulturalnego wokół, którego mogą powstawać miejsca pracy</w:t>
      </w:r>
      <w:r w:rsidR="00E453E4" w:rsidRPr="00531DE6">
        <w:rPr>
          <w:rFonts w:ascii="Candara" w:hAnsi="Candara"/>
        </w:rPr>
        <w:t xml:space="preserve"> w sektorze turystyki;</w:t>
      </w:r>
    </w:p>
    <w:p w:rsidR="0012570D" w:rsidRPr="00531DE6" w:rsidRDefault="00E453E4" w:rsidP="00E453E4">
      <w:pPr>
        <w:pStyle w:val="Akapitzlist"/>
        <w:rPr>
          <w:rFonts w:ascii="Candara" w:hAnsi="Candara"/>
        </w:rPr>
      </w:pPr>
      <w:r w:rsidRPr="00531DE6">
        <w:rPr>
          <w:rFonts w:ascii="Candara" w:hAnsi="Candara"/>
        </w:rPr>
        <w:t>Słabe skomunikowanie</w:t>
      </w:r>
      <w:r w:rsidR="0012570D" w:rsidRPr="00531DE6">
        <w:rPr>
          <w:rFonts w:ascii="Candara" w:hAnsi="Candara"/>
        </w:rPr>
        <w:t xml:space="preserve"> różnych części gminy i</w:t>
      </w:r>
      <w:r w:rsidRPr="00531DE6">
        <w:rPr>
          <w:rFonts w:ascii="Candara" w:hAnsi="Candara"/>
        </w:rPr>
        <w:t xml:space="preserve"> pomiędzy gminami z terenu LGD</w:t>
      </w:r>
      <w:r w:rsidR="0012570D" w:rsidRPr="00531DE6">
        <w:rPr>
          <w:rFonts w:ascii="Candara" w:hAnsi="Candara"/>
        </w:rPr>
        <w:t xml:space="preserve"> – </w:t>
      </w:r>
      <w:r w:rsidRPr="00531DE6">
        <w:rPr>
          <w:rFonts w:ascii="Candara" w:hAnsi="Candara"/>
        </w:rPr>
        <w:t>słaba dostępność bezpiecznych (odseparowanych) ścieżek rowerowych;</w:t>
      </w:r>
    </w:p>
    <w:p w:rsidR="0012570D" w:rsidRPr="00531DE6" w:rsidRDefault="00E453E4" w:rsidP="00E453E4">
      <w:pPr>
        <w:pStyle w:val="Akapitzlist"/>
        <w:rPr>
          <w:rFonts w:ascii="Candara" w:hAnsi="Candara"/>
        </w:rPr>
      </w:pPr>
      <w:r w:rsidRPr="00531DE6">
        <w:rPr>
          <w:rFonts w:ascii="Candara" w:hAnsi="Candara"/>
        </w:rPr>
        <w:t xml:space="preserve">Brak jednego, wspólnego i efektywnego systemu informacji i promocji o środkach zewnętrznych na rozwój </w:t>
      </w:r>
      <w:r w:rsidR="0012570D" w:rsidRPr="00531DE6">
        <w:rPr>
          <w:rFonts w:ascii="Candara" w:hAnsi="Candara"/>
        </w:rPr>
        <w:t xml:space="preserve">przedsiębiorczości – </w:t>
      </w:r>
      <w:r w:rsidR="003C4AF8" w:rsidRPr="00531DE6">
        <w:rPr>
          <w:rFonts w:ascii="Candara" w:hAnsi="Candara"/>
        </w:rPr>
        <w:t xml:space="preserve">młodzi ludzie mają pomysły, ale potrzebują informacji o źródłach funduszy na ich realizacje i pomocy w dobrym opracowaniu wniosków </w:t>
      </w:r>
    </w:p>
    <w:p w:rsidR="0012570D" w:rsidRPr="00531DE6" w:rsidRDefault="003C4AF8" w:rsidP="00E453E4">
      <w:pPr>
        <w:pStyle w:val="Akapitzlist"/>
        <w:rPr>
          <w:rFonts w:ascii="Candara" w:hAnsi="Candara"/>
        </w:rPr>
      </w:pPr>
      <w:r w:rsidRPr="00531DE6">
        <w:rPr>
          <w:rFonts w:ascii="Candara" w:hAnsi="Candara"/>
        </w:rPr>
        <w:t xml:space="preserve">Małe szanse na zdobycie doświadczenia zawodowego – skromna i mało atrakcyjna oferta </w:t>
      </w:r>
      <w:r w:rsidR="0012570D" w:rsidRPr="00531DE6">
        <w:rPr>
          <w:rFonts w:ascii="Candara" w:hAnsi="Candara"/>
        </w:rPr>
        <w:t>staż</w:t>
      </w:r>
      <w:r w:rsidRPr="00531DE6">
        <w:rPr>
          <w:rFonts w:ascii="Candara" w:hAnsi="Candara"/>
        </w:rPr>
        <w:t>y</w:t>
      </w:r>
      <w:r w:rsidR="0012570D" w:rsidRPr="00531DE6">
        <w:rPr>
          <w:rFonts w:ascii="Candara" w:hAnsi="Candara"/>
        </w:rPr>
        <w:t>, praktyk, wolontariat</w:t>
      </w:r>
      <w:r w:rsidRPr="00531DE6">
        <w:rPr>
          <w:rFonts w:ascii="Candara" w:hAnsi="Candara"/>
        </w:rPr>
        <w:t>u</w:t>
      </w:r>
      <w:r w:rsidR="00EE7BBA" w:rsidRPr="00531DE6">
        <w:rPr>
          <w:rFonts w:ascii="Candara" w:hAnsi="Candara"/>
        </w:rPr>
        <w:t xml:space="preserve"> w firmach, instytucjach publicznych i organizacjach pozarządowych</w:t>
      </w:r>
      <w:r w:rsidRPr="00531DE6">
        <w:rPr>
          <w:rFonts w:ascii="Candara" w:hAnsi="Candara"/>
        </w:rPr>
        <w:t>;</w:t>
      </w:r>
    </w:p>
    <w:p w:rsidR="0012570D" w:rsidRPr="00531DE6" w:rsidRDefault="003C4AF8" w:rsidP="00207D75">
      <w:pPr>
        <w:pStyle w:val="Akapitzlist"/>
        <w:rPr>
          <w:rFonts w:ascii="Candara" w:hAnsi="Candara"/>
        </w:rPr>
      </w:pPr>
      <w:r w:rsidRPr="00531DE6">
        <w:rPr>
          <w:rFonts w:ascii="Candara" w:hAnsi="Candara"/>
        </w:rPr>
        <w:t>Brak pomysłów na w</w:t>
      </w:r>
      <w:r w:rsidR="0012570D" w:rsidRPr="00531DE6">
        <w:rPr>
          <w:rFonts w:ascii="Candara" w:hAnsi="Candara"/>
        </w:rPr>
        <w:t xml:space="preserve">ykorzystanie </w:t>
      </w:r>
      <w:r w:rsidRPr="00531DE6">
        <w:rPr>
          <w:rFonts w:ascii="Candara" w:hAnsi="Candara"/>
        </w:rPr>
        <w:t xml:space="preserve">i zagospodarowanie </w:t>
      </w:r>
      <w:r w:rsidR="0012570D" w:rsidRPr="00531DE6">
        <w:rPr>
          <w:rFonts w:ascii="Candara" w:hAnsi="Candara"/>
        </w:rPr>
        <w:t>potencjału i doświadczenia przedsiębiorców w promowaniu przedsiębiorczości w szkołach (</w:t>
      </w:r>
      <w:r w:rsidRPr="00531DE6">
        <w:rPr>
          <w:rFonts w:ascii="Candara" w:hAnsi="Candara"/>
        </w:rPr>
        <w:t xml:space="preserve">np. </w:t>
      </w:r>
      <w:r w:rsidR="0012570D" w:rsidRPr="00531DE6">
        <w:rPr>
          <w:rFonts w:ascii="Candara" w:hAnsi="Candara"/>
        </w:rPr>
        <w:t>cykliczne spotkania / doradztwo edukacyjno-zawodowe)</w:t>
      </w:r>
      <w:r w:rsidRPr="00531DE6">
        <w:rPr>
          <w:rFonts w:ascii="Candara" w:hAnsi="Candara"/>
        </w:rPr>
        <w:t>;</w:t>
      </w:r>
    </w:p>
    <w:p w:rsidR="0012570D" w:rsidRPr="00531DE6" w:rsidRDefault="003C4AF8" w:rsidP="00E453E4">
      <w:pPr>
        <w:pStyle w:val="Akapitzlist"/>
        <w:rPr>
          <w:rFonts w:ascii="Candara" w:hAnsi="Candara"/>
        </w:rPr>
      </w:pPr>
      <w:r w:rsidRPr="00531DE6">
        <w:rPr>
          <w:rFonts w:ascii="Candara" w:hAnsi="Candara"/>
        </w:rPr>
        <w:t xml:space="preserve">Brak spójnej i kompleksowej </w:t>
      </w:r>
      <w:r w:rsidR="0012570D" w:rsidRPr="00531DE6">
        <w:rPr>
          <w:rFonts w:ascii="Candara" w:hAnsi="Candara"/>
        </w:rPr>
        <w:t>oferty</w:t>
      </w:r>
      <w:r w:rsidRPr="00531DE6">
        <w:rPr>
          <w:rFonts w:ascii="Candara" w:hAnsi="Candara"/>
        </w:rPr>
        <w:t xml:space="preserve"> turystycznej</w:t>
      </w:r>
      <w:r w:rsidR="00EE7BBA" w:rsidRPr="00531DE6">
        <w:rPr>
          <w:rFonts w:ascii="Candara" w:hAnsi="Candara"/>
        </w:rPr>
        <w:t xml:space="preserve"> w oparciu o własne produkty turystyczne</w:t>
      </w:r>
      <w:r w:rsidRPr="00531DE6">
        <w:rPr>
          <w:rFonts w:ascii="Candara" w:hAnsi="Candara"/>
        </w:rPr>
        <w:t>;</w:t>
      </w:r>
    </w:p>
    <w:p w:rsidR="00EE7BBA" w:rsidRPr="00531DE6" w:rsidRDefault="00EE7BBA" w:rsidP="00EE7BBA">
      <w:pPr>
        <w:pStyle w:val="Akapitzlist"/>
        <w:rPr>
          <w:rFonts w:ascii="Candara" w:hAnsi="Candara"/>
        </w:rPr>
      </w:pPr>
      <w:r w:rsidRPr="00531DE6">
        <w:rPr>
          <w:rFonts w:ascii="Candara" w:hAnsi="Candara"/>
        </w:rPr>
        <w:t>Słaba informacja  w zakresie możliwości sprzedaży i dystrybucji produktów lokalnych;</w:t>
      </w:r>
    </w:p>
    <w:p w:rsidR="00EE7BBA" w:rsidRPr="00531DE6" w:rsidRDefault="00EE7BBA" w:rsidP="00EE7BBA">
      <w:pPr>
        <w:pStyle w:val="Akapitzlist"/>
        <w:rPr>
          <w:rFonts w:ascii="Candara" w:hAnsi="Candara"/>
        </w:rPr>
      </w:pPr>
      <w:r w:rsidRPr="00531DE6">
        <w:rPr>
          <w:rFonts w:ascii="Candara" w:hAnsi="Candara"/>
        </w:rPr>
        <w:t>Małe zainteresowanie promowaniem i sprzedażą zdrowej żywności – targi śniadaniowe, produkty naturalne np. Biesiada u Bartnika</w:t>
      </w:r>
    </w:p>
    <w:p w:rsidR="0012570D" w:rsidRPr="00531DE6" w:rsidRDefault="0012570D" w:rsidP="00E453E4">
      <w:pPr>
        <w:pStyle w:val="Akapitzlist"/>
        <w:rPr>
          <w:rFonts w:ascii="Candara" w:hAnsi="Candara"/>
        </w:rPr>
      </w:pPr>
      <w:r w:rsidRPr="00531DE6">
        <w:rPr>
          <w:rFonts w:ascii="Candara" w:hAnsi="Candara"/>
        </w:rPr>
        <w:t xml:space="preserve">Brak jednego punktu informacyjnego / promującego produkty lokalne </w:t>
      </w:r>
      <w:r w:rsidR="00917ACA" w:rsidRPr="00531DE6">
        <w:rPr>
          <w:rFonts w:ascii="Candara" w:hAnsi="Candara"/>
        </w:rPr>
        <w:t>(np. mobilny punkt w postaci wozu cygańskiego)</w:t>
      </w:r>
      <w:r w:rsidRPr="00531DE6">
        <w:rPr>
          <w:rFonts w:ascii="Candara" w:hAnsi="Candara"/>
        </w:rPr>
        <w:sym w:font="Wingdings" w:char="F0E0"/>
      </w:r>
      <w:r w:rsidRPr="00531DE6">
        <w:rPr>
          <w:rFonts w:ascii="Candara" w:hAnsi="Candara"/>
        </w:rPr>
        <w:t xml:space="preserve"> </w:t>
      </w:r>
      <w:r w:rsidR="00917ACA" w:rsidRPr="00531DE6">
        <w:rPr>
          <w:rFonts w:ascii="Candara" w:hAnsi="Candara"/>
        </w:rPr>
        <w:t xml:space="preserve">umożliwiającego </w:t>
      </w:r>
      <w:r w:rsidRPr="00531DE6">
        <w:rPr>
          <w:rFonts w:ascii="Candara" w:hAnsi="Candara"/>
        </w:rPr>
        <w:t>wzajemn</w:t>
      </w:r>
      <w:r w:rsidR="00917ACA" w:rsidRPr="00531DE6">
        <w:rPr>
          <w:rFonts w:ascii="Candara" w:hAnsi="Candara"/>
        </w:rPr>
        <w:t>ą</w:t>
      </w:r>
      <w:r w:rsidRPr="00531DE6">
        <w:rPr>
          <w:rFonts w:ascii="Candara" w:hAnsi="Candara"/>
        </w:rPr>
        <w:t xml:space="preserve"> promocj</w:t>
      </w:r>
      <w:r w:rsidR="00917ACA" w:rsidRPr="00531DE6">
        <w:rPr>
          <w:rFonts w:ascii="Candara" w:hAnsi="Candara"/>
        </w:rPr>
        <w:t>ę</w:t>
      </w:r>
      <w:r w:rsidRPr="00531DE6">
        <w:rPr>
          <w:rFonts w:ascii="Candara" w:hAnsi="Candara"/>
        </w:rPr>
        <w:t xml:space="preserve"> </w:t>
      </w:r>
      <w:r w:rsidR="00917ACA" w:rsidRPr="00531DE6">
        <w:rPr>
          <w:rFonts w:ascii="Candara" w:hAnsi="Candara"/>
        </w:rPr>
        <w:t>i</w:t>
      </w:r>
      <w:r w:rsidRPr="00531DE6">
        <w:rPr>
          <w:rFonts w:ascii="Candara" w:hAnsi="Candara"/>
        </w:rPr>
        <w:t xml:space="preserve"> </w:t>
      </w:r>
      <w:r w:rsidR="00917ACA" w:rsidRPr="00531DE6">
        <w:rPr>
          <w:rFonts w:ascii="Candara" w:hAnsi="Candara"/>
        </w:rPr>
        <w:t>sprzedaż produktów lokalnych i ekologicznych;</w:t>
      </w:r>
    </w:p>
    <w:p w:rsidR="0012570D" w:rsidRPr="00531DE6" w:rsidRDefault="0012570D" w:rsidP="00E453E4">
      <w:pPr>
        <w:pStyle w:val="Akapitzlist"/>
        <w:rPr>
          <w:rFonts w:ascii="Candara" w:hAnsi="Candara"/>
        </w:rPr>
      </w:pPr>
      <w:r w:rsidRPr="00531DE6">
        <w:rPr>
          <w:rFonts w:ascii="Candara" w:hAnsi="Candara"/>
        </w:rPr>
        <w:t>Brak wzajemnego wsparcia (promocji, pomocy) instytucji z sektora turystycznego – producenci/gastronomia/hotele</w:t>
      </w:r>
      <w:r w:rsidR="00917ACA" w:rsidRPr="00531DE6">
        <w:rPr>
          <w:rFonts w:ascii="Candara" w:hAnsi="Candara"/>
        </w:rPr>
        <w:t>;</w:t>
      </w:r>
    </w:p>
    <w:p w:rsidR="0012570D" w:rsidRPr="00531DE6" w:rsidRDefault="00917ACA" w:rsidP="00E453E4">
      <w:pPr>
        <w:pStyle w:val="Akapitzlist"/>
        <w:rPr>
          <w:rFonts w:ascii="Candara" w:hAnsi="Candara"/>
        </w:rPr>
      </w:pPr>
      <w:r w:rsidRPr="00531DE6">
        <w:rPr>
          <w:rFonts w:ascii="Candara" w:hAnsi="Candara"/>
        </w:rPr>
        <w:t>Słabe w</w:t>
      </w:r>
      <w:r w:rsidR="0012570D" w:rsidRPr="00531DE6">
        <w:rPr>
          <w:rFonts w:ascii="Candara" w:hAnsi="Candara"/>
        </w:rPr>
        <w:t>ypromowanie kultu</w:t>
      </w:r>
      <w:r w:rsidRPr="00531DE6">
        <w:rPr>
          <w:rFonts w:ascii="Candara" w:hAnsi="Candara"/>
        </w:rPr>
        <w:t>ry lachowskiej, kultury Pogórza;</w:t>
      </w:r>
    </w:p>
    <w:p w:rsidR="00102D8C" w:rsidRPr="00531DE6" w:rsidRDefault="00102D8C" w:rsidP="00E453E4">
      <w:pPr>
        <w:pStyle w:val="Akapitzlist"/>
        <w:rPr>
          <w:rFonts w:ascii="Candara" w:hAnsi="Candara"/>
        </w:rPr>
      </w:pPr>
      <w:r w:rsidRPr="00531DE6">
        <w:rPr>
          <w:rFonts w:ascii="Candara" w:hAnsi="Candara"/>
        </w:rPr>
        <w:lastRenderedPageBreak/>
        <w:t xml:space="preserve">Brak pomysłu na integrację nowych mieszkańców w kontekście procesów </w:t>
      </w:r>
      <w:proofErr w:type="spellStart"/>
      <w:r w:rsidRPr="00531DE6">
        <w:rPr>
          <w:rFonts w:ascii="Candara" w:hAnsi="Candara"/>
        </w:rPr>
        <w:t>suburbanizacyjnych</w:t>
      </w:r>
      <w:proofErr w:type="spellEnd"/>
      <w:r w:rsidRPr="00531DE6">
        <w:rPr>
          <w:rFonts w:ascii="Candara" w:hAnsi="Candara"/>
        </w:rPr>
        <w:t xml:space="preserve"> – jak wykorzystać potencjał nowych mieszkańców dla dobra lokalnej społeczności </w:t>
      </w:r>
    </w:p>
    <w:p w:rsidR="0012570D" w:rsidRPr="00531DE6" w:rsidRDefault="00917ACA" w:rsidP="00E453E4">
      <w:pPr>
        <w:pStyle w:val="Akapitzlist"/>
        <w:rPr>
          <w:rFonts w:ascii="Candara" w:hAnsi="Candara"/>
        </w:rPr>
      </w:pPr>
      <w:r w:rsidRPr="00531DE6">
        <w:rPr>
          <w:rFonts w:ascii="Candara" w:hAnsi="Candara"/>
        </w:rPr>
        <w:t>Oferta kulturalna mocno zdominowana przez kulturę ludową – potrzeba różnorodności;</w:t>
      </w:r>
    </w:p>
    <w:p w:rsidR="0012570D" w:rsidRPr="00531DE6" w:rsidRDefault="00102D8C" w:rsidP="00E453E4">
      <w:pPr>
        <w:pStyle w:val="Akapitzlist"/>
        <w:rPr>
          <w:rFonts w:ascii="Candara" w:hAnsi="Candara"/>
        </w:rPr>
      </w:pPr>
      <w:r w:rsidRPr="00531DE6">
        <w:rPr>
          <w:rFonts w:ascii="Candara" w:hAnsi="Candara"/>
        </w:rPr>
        <w:t xml:space="preserve">Słaba oferta i mało wypromowana infrastruktura sportowa wśród dzieci i młodzieży – potrzeba </w:t>
      </w:r>
      <w:r w:rsidR="009C3E70" w:rsidRPr="00531DE6">
        <w:rPr>
          <w:rFonts w:ascii="Candara" w:hAnsi="Candara"/>
        </w:rPr>
        <w:t xml:space="preserve">urozmaicenia oferty i zaktywizowania młodzieży </w:t>
      </w:r>
      <w:r w:rsidRPr="00531DE6">
        <w:rPr>
          <w:rFonts w:ascii="Candara" w:hAnsi="Candara"/>
        </w:rPr>
        <w:t>np. lig</w:t>
      </w:r>
      <w:r w:rsidR="009C3E70" w:rsidRPr="00531DE6">
        <w:rPr>
          <w:rFonts w:ascii="Candara" w:hAnsi="Candara"/>
        </w:rPr>
        <w:t>a</w:t>
      </w:r>
      <w:r w:rsidRPr="00531DE6">
        <w:rPr>
          <w:rFonts w:ascii="Candara" w:hAnsi="Candara"/>
        </w:rPr>
        <w:t xml:space="preserve"> międzyszkoln</w:t>
      </w:r>
      <w:r w:rsidR="009C3E70" w:rsidRPr="00531DE6">
        <w:rPr>
          <w:rFonts w:ascii="Candara" w:hAnsi="Candara"/>
        </w:rPr>
        <w:t>a</w:t>
      </w:r>
      <w:r w:rsidRPr="00531DE6">
        <w:rPr>
          <w:rFonts w:ascii="Candara" w:hAnsi="Candara"/>
        </w:rPr>
        <w:t>.</w:t>
      </w:r>
    </w:p>
    <w:p w:rsidR="0012570D" w:rsidRPr="00531DE6" w:rsidRDefault="0012570D" w:rsidP="00E453E4">
      <w:pPr>
        <w:pStyle w:val="Akapitzlist"/>
        <w:rPr>
          <w:rFonts w:ascii="Candara" w:hAnsi="Candara"/>
        </w:rPr>
      </w:pPr>
      <w:r w:rsidRPr="00531DE6">
        <w:rPr>
          <w:rFonts w:ascii="Candara" w:hAnsi="Candara"/>
        </w:rPr>
        <w:t xml:space="preserve">Infrastruktura techniczna – </w:t>
      </w:r>
      <w:r w:rsidR="005E2BD8" w:rsidRPr="00531DE6">
        <w:rPr>
          <w:rFonts w:ascii="Candara" w:hAnsi="Candara"/>
        </w:rPr>
        <w:t>słabo rozwinięta sieć kanalizacyjna i wodociągowa;</w:t>
      </w:r>
    </w:p>
    <w:p w:rsidR="0012570D" w:rsidRPr="00531DE6" w:rsidRDefault="0012570D" w:rsidP="006C5AF1">
      <w:pPr>
        <w:jc w:val="both"/>
        <w:rPr>
          <w:rFonts w:ascii="Candara" w:hAnsi="Candara"/>
        </w:rPr>
      </w:pPr>
    </w:p>
    <w:p w:rsidR="009C3E70" w:rsidRPr="00531DE6" w:rsidRDefault="009C3E70" w:rsidP="006C5AF1">
      <w:pPr>
        <w:jc w:val="both"/>
        <w:rPr>
          <w:rFonts w:ascii="Candara" w:hAnsi="Candara"/>
        </w:rPr>
      </w:pPr>
    </w:p>
    <w:p w:rsidR="009C3E70" w:rsidRPr="00531DE6" w:rsidRDefault="009C3E70" w:rsidP="00500543">
      <w:pPr>
        <w:shd w:val="clear" w:color="auto" w:fill="BFBFBF" w:themeFill="background1" w:themeFillShade="BF"/>
        <w:jc w:val="center"/>
        <w:rPr>
          <w:rFonts w:ascii="Candara" w:hAnsi="Candara"/>
          <w:b/>
        </w:rPr>
      </w:pPr>
      <w:r w:rsidRPr="00531DE6">
        <w:rPr>
          <w:rFonts w:ascii="Candara" w:hAnsi="Candara"/>
          <w:b/>
        </w:rPr>
        <w:t>Analiza SWOT</w:t>
      </w:r>
    </w:p>
    <w:tbl>
      <w:tblPr>
        <w:tblStyle w:val="Tabela-Siatka"/>
        <w:tblW w:w="0" w:type="auto"/>
        <w:tblLook w:val="04A0" w:firstRow="1" w:lastRow="0" w:firstColumn="1" w:lastColumn="0" w:noHBand="0" w:noVBand="1"/>
      </w:tblPr>
      <w:tblGrid>
        <w:gridCol w:w="4531"/>
        <w:gridCol w:w="4531"/>
      </w:tblGrid>
      <w:tr w:rsidR="009C3E70" w:rsidRPr="00531DE6" w:rsidTr="00DA3BED">
        <w:tc>
          <w:tcPr>
            <w:tcW w:w="9062" w:type="dxa"/>
            <w:gridSpan w:val="2"/>
            <w:shd w:val="clear" w:color="auto" w:fill="D9D9D9" w:themeFill="background1" w:themeFillShade="D9"/>
          </w:tcPr>
          <w:p w:rsidR="009C3E70" w:rsidRPr="00531DE6" w:rsidRDefault="009C3E70" w:rsidP="009C3E70">
            <w:pPr>
              <w:jc w:val="center"/>
              <w:rPr>
                <w:rFonts w:ascii="Candara" w:hAnsi="Candara"/>
                <w:b/>
              </w:rPr>
            </w:pPr>
            <w:r w:rsidRPr="00531DE6">
              <w:rPr>
                <w:rFonts w:ascii="Candara" w:hAnsi="Candara"/>
                <w:b/>
              </w:rPr>
              <w:t>Rozwój i promowanie przedsiębiorczości</w:t>
            </w:r>
          </w:p>
        </w:tc>
      </w:tr>
      <w:tr w:rsidR="009C3E70" w:rsidRPr="00531DE6" w:rsidTr="00DA3BED">
        <w:tc>
          <w:tcPr>
            <w:tcW w:w="4531" w:type="dxa"/>
            <w:shd w:val="clear" w:color="auto" w:fill="FFD966" w:themeFill="accent4" w:themeFillTint="99"/>
          </w:tcPr>
          <w:p w:rsidR="009C3E70" w:rsidRPr="00531DE6" w:rsidRDefault="009C3E70" w:rsidP="009C3E70">
            <w:pPr>
              <w:jc w:val="center"/>
              <w:rPr>
                <w:rFonts w:ascii="Candara" w:hAnsi="Candara"/>
                <w:b/>
              </w:rPr>
            </w:pPr>
            <w:r w:rsidRPr="00531DE6">
              <w:rPr>
                <w:rFonts w:ascii="Candara" w:hAnsi="Candara"/>
                <w:b/>
              </w:rPr>
              <w:t>Mocne strony</w:t>
            </w:r>
          </w:p>
        </w:tc>
        <w:tc>
          <w:tcPr>
            <w:tcW w:w="4531" w:type="dxa"/>
            <w:shd w:val="clear" w:color="auto" w:fill="FFD966" w:themeFill="accent4" w:themeFillTint="99"/>
          </w:tcPr>
          <w:p w:rsidR="009C3E70" w:rsidRPr="00531DE6" w:rsidRDefault="009C3E70" w:rsidP="009C3E70">
            <w:pPr>
              <w:jc w:val="center"/>
              <w:rPr>
                <w:rFonts w:ascii="Candara" w:hAnsi="Candara"/>
                <w:b/>
              </w:rPr>
            </w:pPr>
            <w:r w:rsidRPr="00531DE6">
              <w:rPr>
                <w:rFonts w:ascii="Candara" w:hAnsi="Candara"/>
                <w:b/>
              </w:rPr>
              <w:t>Słabe strony</w:t>
            </w:r>
          </w:p>
        </w:tc>
      </w:tr>
      <w:tr w:rsidR="009C3E70" w:rsidRPr="00531DE6" w:rsidTr="009C3E70">
        <w:trPr>
          <w:trHeight w:val="141"/>
        </w:trPr>
        <w:tc>
          <w:tcPr>
            <w:tcW w:w="4531" w:type="dxa"/>
          </w:tcPr>
          <w:p w:rsidR="009C3E70" w:rsidRPr="00531DE6" w:rsidRDefault="009C3E70" w:rsidP="009C3E70">
            <w:pPr>
              <w:rPr>
                <w:rFonts w:ascii="Candara" w:hAnsi="Candara"/>
              </w:rPr>
            </w:pPr>
            <w:r w:rsidRPr="00531DE6">
              <w:rPr>
                <w:rFonts w:ascii="Candara" w:hAnsi="Candara"/>
              </w:rPr>
              <w:t>Wysoka dynamika wzrostu podmiotów gospodarczych – wzrost o 26%, to więcej niż średnia dla kraju (10%) i województwa (13,6%) w latach 2009-2014</w:t>
            </w:r>
          </w:p>
          <w:p w:rsidR="009C3E70" w:rsidRPr="00531DE6" w:rsidRDefault="009C3E70" w:rsidP="009C3E70">
            <w:pPr>
              <w:rPr>
                <w:rFonts w:ascii="Candara" w:hAnsi="Candara"/>
              </w:rPr>
            </w:pPr>
            <w:r w:rsidRPr="00531DE6">
              <w:rPr>
                <w:rFonts w:ascii="Candara" w:hAnsi="Candara"/>
              </w:rPr>
              <w:t xml:space="preserve">Silnie reprezentowana branża budowlana – 2,5 </w:t>
            </w:r>
            <w:proofErr w:type="spellStart"/>
            <w:r w:rsidRPr="00531DE6">
              <w:rPr>
                <w:rFonts w:ascii="Candara" w:hAnsi="Candara"/>
              </w:rPr>
              <w:t>raza</w:t>
            </w:r>
            <w:proofErr w:type="spellEnd"/>
            <w:r w:rsidRPr="00531DE6">
              <w:rPr>
                <w:rFonts w:ascii="Candara" w:hAnsi="Candara"/>
              </w:rPr>
              <w:t xml:space="preserve"> więcej podmiotów w tej sekcji PKD w stosunku dla średniej regionalnej i krajowej (liczne firmy budowlano – remontowe świadczące usługi na terenie m.in. Nowego Sącza, Warszawy i Krakowa)</w:t>
            </w:r>
          </w:p>
          <w:p w:rsidR="009C3E70" w:rsidRPr="00531DE6" w:rsidRDefault="009C3E70" w:rsidP="009C3E70">
            <w:pPr>
              <w:rPr>
                <w:rFonts w:ascii="Candara" w:hAnsi="Candara"/>
              </w:rPr>
            </w:pPr>
            <w:r w:rsidRPr="00531DE6">
              <w:rPr>
                <w:rFonts w:ascii="Candara" w:hAnsi="Candara"/>
              </w:rPr>
              <w:t xml:space="preserve">Obecność znanych  rozpoznawalnych firm w skali regionalnej i ponadregionalnej  </w:t>
            </w:r>
            <w:proofErr w:type="spellStart"/>
            <w:r w:rsidRPr="00531DE6">
              <w:rPr>
                <w:rFonts w:ascii="Candara" w:hAnsi="Candara"/>
              </w:rPr>
              <w:t>Szubryt</w:t>
            </w:r>
            <w:proofErr w:type="spellEnd"/>
            <w:r w:rsidRPr="00531DE6">
              <w:rPr>
                <w:rFonts w:ascii="Candara" w:hAnsi="Candara"/>
              </w:rPr>
              <w:t>, Wiśniowski, Bogdański, KSS Klęczany.</w:t>
            </w:r>
          </w:p>
          <w:p w:rsidR="009C3E70" w:rsidRPr="00531DE6" w:rsidRDefault="009C3E70" w:rsidP="009C3E70">
            <w:pPr>
              <w:rPr>
                <w:rFonts w:ascii="Candara" w:hAnsi="Candara"/>
              </w:rPr>
            </w:pPr>
            <w:r w:rsidRPr="00531DE6">
              <w:rPr>
                <w:rFonts w:ascii="Candara" w:hAnsi="Candara"/>
              </w:rPr>
              <w:t>Rozwój drobnych usług związanych z napływem nowych mieszkańców</w:t>
            </w:r>
          </w:p>
          <w:p w:rsidR="009C3E70" w:rsidRPr="00531DE6" w:rsidRDefault="009C3E70" w:rsidP="009C3E70">
            <w:pPr>
              <w:rPr>
                <w:rFonts w:ascii="Candara" w:hAnsi="Candara"/>
              </w:rPr>
            </w:pPr>
            <w:r w:rsidRPr="00531DE6">
              <w:rPr>
                <w:rFonts w:ascii="Candara" w:hAnsi="Candara"/>
              </w:rPr>
              <w:t xml:space="preserve">Zainteresowanie mieszkańców wsparciem w zakresie różnicowania zatrudnienia oraz zakładania działalności gospodarczej i rozwijania przedsiębiorczości </w:t>
            </w:r>
          </w:p>
          <w:p w:rsidR="009C3E70" w:rsidRPr="00531DE6" w:rsidRDefault="009C3E70" w:rsidP="009C3E70">
            <w:pPr>
              <w:rPr>
                <w:rFonts w:ascii="Candara" w:hAnsi="Candara"/>
              </w:rPr>
            </w:pPr>
            <w:r w:rsidRPr="00531DE6">
              <w:rPr>
                <w:rFonts w:ascii="Candara" w:hAnsi="Candara"/>
              </w:rPr>
              <w:t>Korzystne położenie w stosunku do miast regionu – bliskość Nowego Sącza, Krakowa;</w:t>
            </w:r>
          </w:p>
        </w:tc>
        <w:tc>
          <w:tcPr>
            <w:tcW w:w="4531" w:type="dxa"/>
          </w:tcPr>
          <w:p w:rsidR="009C3E70" w:rsidRPr="00531DE6" w:rsidRDefault="009C3E70" w:rsidP="009C3E70">
            <w:pPr>
              <w:rPr>
                <w:rFonts w:ascii="Candara" w:hAnsi="Candara"/>
              </w:rPr>
            </w:pPr>
            <w:r w:rsidRPr="00531DE6">
              <w:rPr>
                <w:rFonts w:ascii="Candara" w:hAnsi="Candara"/>
              </w:rPr>
              <w:t xml:space="preserve">Niski poziom wskaźnika przedsiębiorczości (liczba podmiotów gospodarczych na 1000 mieszkańców) - LGD Korona Sądecka (67,2), Polska (107,1) województwo małopolskie (105,9) </w:t>
            </w:r>
          </w:p>
          <w:p w:rsidR="009C3E70" w:rsidRPr="00531DE6" w:rsidRDefault="009C3E70" w:rsidP="009C3E70">
            <w:pPr>
              <w:rPr>
                <w:rFonts w:ascii="Candara" w:hAnsi="Candara"/>
              </w:rPr>
            </w:pPr>
            <w:r w:rsidRPr="00531DE6">
              <w:rPr>
                <w:rFonts w:ascii="Candara" w:hAnsi="Candara"/>
              </w:rPr>
              <w:t>Wysoki wskaźnik bezrobocia - na obszarze LGD Korona Sądecka (8,6), średnia dla kraju (7,5), województwo małopolskie (6,6), powiat nowosądecki (8,3).</w:t>
            </w:r>
          </w:p>
          <w:p w:rsidR="009C3E70" w:rsidRPr="00531DE6" w:rsidRDefault="009C3E70" w:rsidP="009C3E70">
            <w:pPr>
              <w:rPr>
                <w:rFonts w:ascii="Candara" w:hAnsi="Candara"/>
              </w:rPr>
            </w:pPr>
            <w:r w:rsidRPr="00531DE6">
              <w:rPr>
                <w:rFonts w:ascii="Candara" w:hAnsi="Candara"/>
              </w:rPr>
              <w:t>Niekorzystana struktura bezrobotnych:</w:t>
            </w:r>
          </w:p>
          <w:p w:rsidR="009C3E70" w:rsidRPr="00531DE6" w:rsidRDefault="009C3E70" w:rsidP="00500543">
            <w:pPr>
              <w:numPr>
                <w:ilvl w:val="0"/>
                <w:numId w:val="6"/>
              </w:numPr>
              <w:ind w:left="318"/>
              <w:rPr>
                <w:rFonts w:ascii="Candara" w:hAnsi="Candara"/>
              </w:rPr>
            </w:pPr>
            <w:r w:rsidRPr="00531DE6">
              <w:rPr>
                <w:rFonts w:ascii="Candara" w:hAnsi="Candara"/>
              </w:rPr>
              <w:t>ponad połowa nie ukończyła jeszcze 35 roku życia;</w:t>
            </w:r>
          </w:p>
          <w:p w:rsidR="009C3E70" w:rsidRPr="00531DE6" w:rsidRDefault="009C3E70" w:rsidP="00500543">
            <w:pPr>
              <w:numPr>
                <w:ilvl w:val="0"/>
                <w:numId w:val="6"/>
              </w:numPr>
              <w:ind w:left="318"/>
              <w:rPr>
                <w:rFonts w:ascii="Candara" w:hAnsi="Candara"/>
              </w:rPr>
            </w:pPr>
            <w:r w:rsidRPr="00531DE6">
              <w:rPr>
                <w:rFonts w:ascii="Candara" w:hAnsi="Candara"/>
              </w:rPr>
              <w:t>27,2% jest w wieku powyżej 45 lat;</w:t>
            </w:r>
          </w:p>
          <w:p w:rsidR="009C3E70" w:rsidRPr="00531DE6" w:rsidRDefault="009C3E70" w:rsidP="00500543">
            <w:pPr>
              <w:numPr>
                <w:ilvl w:val="0"/>
                <w:numId w:val="6"/>
              </w:numPr>
              <w:ind w:left="318"/>
              <w:rPr>
                <w:rFonts w:ascii="Candara" w:hAnsi="Candara"/>
              </w:rPr>
            </w:pPr>
            <w:r w:rsidRPr="00531DE6">
              <w:rPr>
                <w:rFonts w:ascii="Candara" w:hAnsi="Candara"/>
              </w:rPr>
              <w:t xml:space="preserve">co trzeci bezrobotny (36,2%) z wykształceniem zasadniczym zawodowym </w:t>
            </w:r>
          </w:p>
          <w:p w:rsidR="009C3E70" w:rsidRPr="00531DE6" w:rsidRDefault="009C3E70" w:rsidP="00500543">
            <w:pPr>
              <w:numPr>
                <w:ilvl w:val="0"/>
                <w:numId w:val="6"/>
              </w:numPr>
              <w:ind w:left="318"/>
              <w:rPr>
                <w:rFonts w:ascii="Candara" w:hAnsi="Candara"/>
              </w:rPr>
            </w:pPr>
            <w:r w:rsidRPr="00531DE6">
              <w:rPr>
                <w:rFonts w:ascii="Candara" w:hAnsi="Candara"/>
              </w:rPr>
              <w:t>ponad 40% bezrobotnych jest bez pracy dłużej niż rok;</w:t>
            </w:r>
          </w:p>
          <w:p w:rsidR="009C3E70" w:rsidRPr="00531DE6" w:rsidRDefault="009C3E70" w:rsidP="00500543">
            <w:pPr>
              <w:numPr>
                <w:ilvl w:val="0"/>
                <w:numId w:val="6"/>
              </w:numPr>
              <w:ind w:left="318"/>
              <w:rPr>
                <w:rFonts w:ascii="Candara" w:hAnsi="Candara"/>
              </w:rPr>
            </w:pPr>
            <w:r w:rsidRPr="00531DE6">
              <w:rPr>
                <w:rFonts w:ascii="Candara" w:hAnsi="Candara"/>
              </w:rPr>
              <w:t>ponad 61% bezrobotnych to kobiety (średnia dla Polski to 51,5%);</w:t>
            </w:r>
          </w:p>
          <w:p w:rsidR="009C3E70" w:rsidRPr="00531DE6" w:rsidRDefault="009C3E70" w:rsidP="00500543">
            <w:pPr>
              <w:numPr>
                <w:ilvl w:val="0"/>
                <w:numId w:val="6"/>
              </w:numPr>
              <w:ind w:left="318"/>
              <w:rPr>
                <w:rFonts w:ascii="Candara" w:hAnsi="Candara"/>
              </w:rPr>
            </w:pPr>
            <w:r w:rsidRPr="00531DE6">
              <w:rPr>
                <w:rFonts w:ascii="Candara" w:hAnsi="Candara"/>
              </w:rPr>
              <w:t>1/5 bezrobotnych nie ma żadnego doświadczenia na rynku pracy.</w:t>
            </w:r>
          </w:p>
          <w:p w:rsidR="009C3E70" w:rsidRPr="00531DE6" w:rsidRDefault="009C3E70" w:rsidP="009C3E70">
            <w:pPr>
              <w:rPr>
                <w:rFonts w:ascii="Candara" w:hAnsi="Candara"/>
              </w:rPr>
            </w:pPr>
            <w:r w:rsidRPr="00531DE6">
              <w:rPr>
                <w:rFonts w:ascii="Candara" w:hAnsi="Candara"/>
              </w:rPr>
              <w:t xml:space="preserve">Niska ocena lokalnego rynku pracy przez mieszkańców - 6/10 respondentów uważa, że </w:t>
            </w:r>
            <w:r w:rsidRPr="00531DE6">
              <w:rPr>
                <w:rFonts w:ascii="Candara" w:hAnsi="Candara"/>
              </w:rPr>
              <w:lastRenderedPageBreak/>
              <w:t xml:space="preserve">obszar LGD nie jest dobrym miejscem do pracy lub prowadzenia własnej działalności, a ponad 2/3 wskazuje obszar zatrudnienia jako najbardziej deficytowy w lokalnej polityce rozwojowej </w:t>
            </w:r>
          </w:p>
        </w:tc>
      </w:tr>
      <w:tr w:rsidR="009C3E70" w:rsidRPr="00531DE6" w:rsidTr="00DA3BED">
        <w:tc>
          <w:tcPr>
            <w:tcW w:w="4531" w:type="dxa"/>
            <w:shd w:val="clear" w:color="auto" w:fill="8496B0" w:themeFill="text2" w:themeFillTint="99"/>
          </w:tcPr>
          <w:p w:rsidR="009C3E70" w:rsidRPr="00531DE6" w:rsidRDefault="009C3E70" w:rsidP="009C3E70">
            <w:pPr>
              <w:jc w:val="center"/>
              <w:rPr>
                <w:rFonts w:ascii="Candara" w:hAnsi="Candara"/>
                <w:b/>
              </w:rPr>
            </w:pPr>
            <w:r w:rsidRPr="00531DE6">
              <w:rPr>
                <w:rFonts w:ascii="Candara" w:hAnsi="Candara"/>
                <w:b/>
              </w:rPr>
              <w:lastRenderedPageBreak/>
              <w:t>Szanse</w:t>
            </w:r>
          </w:p>
        </w:tc>
        <w:tc>
          <w:tcPr>
            <w:tcW w:w="4531" w:type="dxa"/>
            <w:shd w:val="clear" w:color="auto" w:fill="8496B0" w:themeFill="text2" w:themeFillTint="99"/>
          </w:tcPr>
          <w:p w:rsidR="009C3E70" w:rsidRPr="00531DE6" w:rsidRDefault="009C3E70" w:rsidP="009C3E70">
            <w:pPr>
              <w:jc w:val="center"/>
              <w:rPr>
                <w:rFonts w:ascii="Candara" w:hAnsi="Candara"/>
                <w:b/>
              </w:rPr>
            </w:pPr>
            <w:r w:rsidRPr="00531DE6">
              <w:rPr>
                <w:rFonts w:ascii="Candara" w:hAnsi="Candara"/>
                <w:b/>
              </w:rPr>
              <w:t>Zagrożenia</w:t>
            </w:r>
          </w:p>
        </w:tc>
      </w:tr>
      <w:tr w:rsidR="009C3E70" w:rsidRPr="00531DE6" w:rsidTr="00531DE6">
        <w:trPr>
          <w:trHeight w:val="243"/>
        </w:trPr>
        <w:tc>
          <w:tcPr>
            <w:tcW w:w="4531" w:type="dxa"/>
            <w:vAlign w:val="center"/>
          </w:tcPr>
          <w:p w:rsidR="009C3E70" w:rsidRPr="00531DE6" w:rsidRDefault="009C3E70" w:rsidP="009C3E70">
            <w:pPr>
              <w:rPr>
                <w:rFonts w:ascii="Candara" w:hAnsi="Candara"/>
              </w:rPr>
            </w:pPr>
            <w:r w:rsidRPr="00531DE6">
              <w:rPr>
                <w:rFonts w:ascii="Candara" w:hAnsi="Candara"/>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9C3E70" w:rsidRPr="00531DE6" w:rsidRDefault="009C3E70" w:rsidP="009C3E70">
            <w:pPr>
              <w:rPr>
                <w:rFonts w:ascii="Candara" w:hAnsi="Candara"/>
              </w:rPr>
            </w:pPr>
            <w:r w:rsidRPr="00531DE6">
              <w:rPr>
                <w:rFonts w:ascii="Candara" w:hAnsi="Candara"/>
              </w:rPr>
              <w:t>Dostępność funduszy na aktywizację osób bezrobotnych finansowane ze środków np. EFS i Funduszu Pracy</w:t>
            </w:r>
          </w:p>
          <w:p w:rsidR="009C3E70" w:rsidRPr="00531DE6" w:rsidRDefault="009C3E70" w:rsidP="009C3E70">
            <w:pPr>
              <w:rPr>
                <w:rFonts w:ascii="Candara" w:hAnsi="Candara"/>
              </w:rPr>
            </w:pPr>
            <w:r w:rsidRPr="00531DE6">
              <w:rPr>
                <w:rFonts w:ascii="Candara" w:hAnsi="Candara"/>
              </w:rPr>
              <w:t>Poprawa koniunktury gospodarczej w kraju i UE – wzrost nakładów na  inwestycje – poszukiwanie nowych lokalizacji pod rozwój działalności gospodarczej</w:t>
            </w:r>
          </w:p>
          <w:p w:rsidR="009C3E70" w:rsidRPr="00531DE6" w:rsidRDefault="009C3E70" w:rsidP="009C3E70">
            <w:pPr>
              <w:rPr>
                <w:rFonts w:ascii="Candara" w:hAnsi="Candara"/>
              </w:rPr>
            </w:pPr>
            <w:r w:rsidRPr="00531DE6">
              <w:rPr>
                <w:rFonts w:ascii="Candara" w:hAnsi="Candara"/>
              </w:rPr>
              <w:t>Stopniowe zwiększanie dywersyfikacji działalności rolniczej w kierunku np. agroturystyki lub gospodarstw ekologicznych</w:t>
            </w:r>
          </w:p>
          <w:p w:rsidR="009C3E70" w:rsidRPr="00531DE6" w:rsidRDefault="009C3E70" w:rsidP="009C3E70">
            <w:pPr>
              <w:rPr>
                <w:rFonts w:ascii="Candara" w:hAnsi="Candara"/>
                <w:b/>
              </w:rPr>
            </w:pPr>
            <w:r w:rsidRPr="00531DE6">
              <w:rPr>
                <w:rFonts w:ascii="Candara" w:hAnsi="Candara"/>
              </w:rPr>
              <w:t>Działania na rzecz wzrostu efektywności produkcji rolnej np. wspieranie powstawania  spółdzielni i grup producenckich</w:t>
            </w:r>
          </w:p>
          <w:p w:rsidR="009C3E70" w:rsidRPr="00531DE6" w:rsidRDefault="009C3E70" w:rsidP="009C3E70">
            <w:pPr>
              <w:rPr>
                <w:rFonts w:ascii="Candara" w:hAnsi="Candara"/>
              </w:rPr>
            </w:pPr>
            <w:r w:rsidRPr="00531DE6">
              <w:rPr>
                <w:rFonts w:ascii="Candara" w:hAnsi="Candara"/>
              </w:rPr>
              <w:t>Koniunktura na rynku budowlanym</w:t>
            </w:r>
          </w:p>
          <w:p w:rsidR="009C3E70" w:rsidRPr="00531DE6" w:rsidRDefault="009C3E70" w:rsidP="009C3E70">
            <w:pPr>
              <w:rPr>
                <w:rFonts w:ascii="Candara" w:hAnsi="Candara"/>
              </w:rPr>
            </w:pPr>
            <w:r w:rsidRPr="00531DE6">
              <w:rPr>
                <w:rFonts w:ascii="Candara" w:hAnsi="Candara"/>
              </w:rPr>
              <w:t>Wsparcie finansowe dla powstawania spółdzielni socjalnych i promowanie ekonomii społecznej</w:t>
            </w:r>
          </w:p>
          <w:p w:rsidR="009C3E70" w:rsidRPr="00531DE6" w:rsidRDefault="009C3E70" w:rsidP="009C3E70">
            <w:pPr>
              <w:rPr>
                <w:rFonts w:ascii="Candara" w:hAnsi="Candara"/>
              </w:rPr>
            </w:pPr>
            <w:r w:rsidRPr="00531DE6">
              <w:rPr>
                <w:rFonts w:ascii="Candara" w:hAnsi="Candara"/>
              </w:rPr>
              <w:t xml:space="preserve">szansa na szybkie połączenie z autostradą A4 poprzez przebudowę tzw. sądeczanki na trasie Brzesko – Nowy Sącz (trasa uwzględniona w rządowym Programie Budowy Dróg Krajowych do 2023 r.), oraz </w:t>
            </w:r>
            <w:r w:rsidRPr="00531DE6">
              <w:rPr>
                <w:rFonts w:ascii="Candara" w:hAnsi="Candara"/>
              </w:rPr>
              <w:lastRenderedPageBreak/>
              <w:t>budowę nowego połączenia kolejowego Kraków – Nowy Sącz</w:t>
            </w:r>
          </w:p>
        </w:tc>
        <w:tc>
          <w:tcPr>
            <w:tcW w:w="4531" w:type="dxa"/>
          </w:tcPr>
          <w:p w:rsidR="009C3E70" w:rsidRPr="00531DE6" w:rsidRDefault="009C3E70" w:rsidP="009C3E70">
            <w:pPr>
              <w:rPr>
                <w:rFonts w:ascii="Candara" w:hAnsi="Candara"/>
                <w:b/>
              </w:rPr>
            </w:pPr>
            <w:r w:rsidRPr="00531DE6">
              <w:rPr>
                <w:rFonts w:ascii="Candara" w:hAnsi="Candara"/>
              </w:rPr>
              <w:lastRenderedPageBreak/>
              <w:t xml:space="preserve">Odpływ młodych ludzi do dużych ośrodków miejskich i zagranicę </w:t>
            </w:r>
          </w:p>
          <w:p w:rsidR="009C3E70" w:rsidRPr="00531DE6" w:rsidRDefault="009C3E70" w:rsidP="009C3E70">
            <w:pPr>
              <w:rPr>
                <w:rFonts w:ascii="Candara" w:hAnsi="Candara"/>
              </w:rPr>
            </w:pPr>
            <w:r w:rsidRPr="00531DE6">
              <w:rPr>
                <w:rFonts w:ascii="Candara" w:hAnsi="Candara"/>
              </w:rPr>
              <w:t>Konkurencja o środki UE ze strony innych samorządów i LGD (system konkursowy – brak gwarancji otrzymania środków zewnętrznych)</w:t>
            </w:r>
          </w:p>
          <w:p w:rsidR="009C3E70" w:rsidRPr="00531DE6" w:rsidRDefault="009C3E70" w:rsidP="009C3E70">
            <w:pPr>
              <w:rPr>
                <w:rFonts w:ascii="Candara" w:hAnsi="Candara"/>
              </w:rPr>
            </w:pPr>
            <w:r w:rsidRPr="00531DE6">
              <w:rPr>
                <w:rFonts w:ascii="Candara" w:hAnsi="Candara"/>
              </w:rPr>
              <w:t xml:space="preserve">Niekontrolowana </w:t>
            </w:r>
            <w:proofErr w:type="spellStart"/>
            <w:r w:rsidRPr="00531DE6">
              <w:rPr>
                <w:rFonts w:ascii="Candara" w:hAnsi="Candara"/>
              </w:rPr>
              <w:t>suburbanizacja</w:t>
            </w:r>
            <w:proofErr w:type="spellEnd"/>
            <w:r w:rsidRPr="00531DE6">
              <w:rPr>
                <w:rFonts w:ascii="Candara" w:hAnsi="Candara"/>
              </w:rPr>
              <w:t xml:space="preserve"> – rozlewanie się miast</w:t>
            </w:r>
          </w:p>
          <w:p w:rsidR="009C3E70" w:rsidRPr="00531DE6" w:rsidRDefault="009C3E70" w:rsidP="009C3E70">
            <w:pPr>
              <w:rPr>
                <w:rFonts w:ascii="Candara" w:hAnsi="Candara"/>
              </w:rPr>
            </w:pPr>
            <w:r w:rsidRPr="00531DE6">
              <w:rPr>
                <w:rFonts w:ascii="Candara" w:hAnsi="Candara"/>
              </w:rPr>
              <w:t>Migracja zarobkowa w poszukiwaniu pracy zgodnej z posiadanymi kwalifikacjami, lub lepiej płatnej pracy</w:t>
            </w:r>
          </w:p>
        </w:tc>
      </w:tr>
      <w:tr w:rsidR="009C3E70" w:rsidRPr="00531DE6" w:rsidTr="00DA3BED">
        <w:tc>
          <w:tcPr>
            <w:tcW w:w="9062" w:type="dxa"/>
            <w:gridSpan w:val="2"/>
            <w:shd w:val="clear" w:color="auto" w:fill="D9D9D9" w:themeFill="background1" w:themeFillShade="D9"/>
          </w:tcPr>
          <w:p w:rsidR="009C3E70" w:rsidRPr="00531DE6" w:rsidRDefault="009C3E70" w:rsidP="009C3E70">
            <w:pPr>
              <w:jc w:val="center"/>
              <w:rPr>
                <w:rFonts w:ascii="Candara" w:hAnsi="Candara"/>
                <w:b/>
              </w:rPr>
            </w:pPr>
            <w:r w:rsidRPr="00531DE6">
              <w:rPr>
                <w:rFonts w:ascii="Candara" w:hAnsi="Candara"/>
                <w:b/>
              </w:rPr>
              <w:lastRenderedPageBreak/>
              <w:t>Oferta turystyczna, kulturalna i rekreacyjna bazująca na lokalnych potencjałach</w:t>
            </w:r>
          </w:p>
        </w:tc>
      </w:tr>
      <w:tr w:rsidR="009C3E70" w:rsidRPr="00531DE6" w:rsidTr="00DA3BED">
        <w:tc>
          <w:tcPr>
            <w:tcW w:w="4531" w:type="dxa"/>
            <w:shd w:val="clear" w:color="auto" w:fill="FFD966" w:themeFill="accent4" w:themeFillTint="99"/>
          </w:tcPr>
          <w:p w:rsidR="009C3E70" w:rsidRPr="00531DE6" w:rsidRDefault="009C3E70" w:rsidP="009C3E70">
            <w:pPr>
              <w:jc w:val="center"/>
              <w:rPr>
                <w:rFonts w:ascii="Candara" w:hAnsi="Candara"/>
                <w:b/>
              </w:rPr>
            </w:pPr>
            <w:r w:rsidRPr="00531DE6">
              <w:rPr>
                <w:rFonts w:ascii="Candara" w:hAnsi="Candara"/>
                <w:b/>
              </w:rPr>
              <w:t>Mocne strony</w:t>
            </w:r>
          </w:p>
        </w:tc>
        <w:tc>
          <w:tcPr>
            <w:tcW w:w="4531" w:type="dxa"/>
            <w:shd w:val="clear" w:color="auto" w:fill="FFD966" w:themeFill="accent4" w:themeFillTint="99"/>
          </w:tcPr>
          <w:p w:rsidR="009C3E70" w:rsidRPr="00531DE6" w:rsidRDefault="009C3E70" w:rsidP="009C3E70">
            <w:pPr>
              <w:jc w:val="center"/>
              <w:rPr>
                <w:rFonts w:ascii="Candara" w:hAnsi="Candara"/>
                <w:b/>
              </w:rPr>
            </w:pPr>
            <w:r w:rsidRPr="00531DE6">
              <w:rPr>
                <w:rFonts w:ascii="Candara" w:hAnsi="Candara"/>
                <w:b/>
              </w:rPr>
              <w:t>Słabe strony</w:t>
            </w:r>
          </w:p>
        </w:tc>
      </w:tr>
      <w:tr w:rsidR="009C3E70" w:rsidRPr="00531DE6" w:rsidTr="00DA3BED">
        <w:tc>
          <w:tcPr>
            <w:tcW w:w="4531" w:type="dxa"/>
          </w:tcPr>
          <w:p w:rsidR="009C3E70" w:rsidRPr="00531DE6" w:rsidRDefault="009C3E70" w:rsidP="009C3E70">
            <w:pPr>
              <w:jc w:val="both"/>
              <w:rPr>
                <w:rFonts w:ascii="Candara" w:hAnsi="Candara"/>
              </w:rPr>
            </w:pPr>
            <w:r w:rsidRPr="00531DE6">
              <w:rPr>
                <w:rFonts w:ascii="Candara" w:hAnsi="Candara"/>
              </w:rPr>
              <w:t xml:space="preserve">wysoka dostępność domów kultury dla mieszkańców (liczba mieszkańców na jeden dom kultury: 3588 osób; średnia dla Polski: 9574 osoby) </w:t>
            </w:r>
          </w:p>
          <w:p w:rsidR="009C3E70" w:rsidRPr="00531DE6" w:rsidRDefault="009C3E70" w:rsidP="009C3E70">
            <w:pPr>
              <w:jc w:val="both"/>
              <w:rPr>
                <w:rFonts w:ascii="Candara" w:hAnsi="Candara"/>
              </w:rPr>
            </w:pPr>
            <w:r w:rsidRPr="00531DE6">
              <w:rPr>
                <w:rFonts w:ascii="Candara" w:hAnsi="Candara"/>
                <w:b/>
              </w:rPr>
              <w:t>3 Gminne Ośrodki Kultury</w:t>
            </w:r>
            <w:r w:rsidRPr="00531DE6">
              <w:rPr>
                <w:rFonts w:ascii="Candara" w:hAnsi="Candara"/>
              </w:rPr>
              <w:t xml:space="preserve"> (Kamionka Wielka, Klęczany, Grybów) oraz </w:t>
            </w:r>
            <w:r w:rsidRPr="00531DE6">
              <w:rPr>
                <w:rFonts w:ascii="Candara" w:hAnsi="Candara"/>
                <w:b/>
              </w:rPr>
              <w:t>Miejski dom Kultury</w:t>
            </w:r>
            <w:r w:rsidRPr="00531DE6">
              <w:rPr>
                <w:rFonts w:ascii="Candara" w:hAnsi="Candara"/>
              </w:rPr>
              <w:t xml:space="preserve"> (Grybów) posiadające łącznie 19 filii (w tym świetlice wiejskie oraz pracownia plastyczna) </w:t>
            </w:r>
          </w:p>
          <w:p w:rsidR="009C3E70" w:rsidRPr="00531DE6" w:rsidRDefault="009C3E70" w:rsidP="009C3E70">
            <w:pPr>
              <w:jc w:val="both"/>
              <w:rPr>
                <w:rFonts w:ascii="Candara" w:hAnsi="Candara"/>
              </w:rPr>
            </w:pPr>
            <w:r w:rsidRPr="00531DE6">
              <w:rPr>
                <w:rFonts w:ascii="Candara" w:hAnsi="Candara"/>
                <w:b/>
              </w:rPr>
              <w:t>liczne imprezy kulturalne</w:t>
            </w:r>
            <w:r w:rsidRPr="00531DE6">
              <w:rPr>
                <w:rFonts w:ascii="Candara" w:hAnsi="Candara"/>
              </w:rPr>
              <w:t xml:space="preserve">, m.in. Przegląd Zespołów Kolędniczych „Przebierańcy w Klęczanach”, Przegląd Palm Wielkanocnych, Imieniny Gminy Chełmiec związane w uroczystościami ku czci świętego Krzysztofa, Powiatowy Przegląd Grup Kolędniczych SĄDECKIE KOLĘDOWANIE, Lato w Dolinie Kamionki, „Grybowskie Lato”, Gwiazdka z Burmistrzem, festyny rodzinne oraz konkursy. </w:t>
            </w:r>
          </w:p>
          <w:p w:rsidR="009C3E70" w:rsidRPr="00531DE6" w:rsidRDefault="009C3E70" w:rsidP="009C3E70">
            <w:pPr>
              <w:jc w:val="both"/>
              <w:rPr>
                <w:rFonts w:ascii="Candara" w:hAnsi="Candara"/>
              </w:rPr>
            </w:pPr>
            <w:r w:rsidRPr="00531DE6">
              <w:rPr>
                <w:rFonts w:ascii="Candara" w:hAnsi="Candara"/>
              </w:rPr>
              <w:t>Wysoki poziom aktywności kulturalnej mieszkańców: amatorski teatr młodzieżowy, zespół teatralno-obrzędowy, koła zainteresowań, grupy artystyczne, 7 zespołów amatorskich, wydawany jest także kwartalnik społeczno-kulturalny „Gminne Wieści”</w:t>
            </w:r>
          </w:p>
          <w:p w:rsidR="009C3E70" w:rsidRPr="00531DE6" w:rsidRDefault="009C3E70" w:rsidP="009C3E70">
            <w:pPr>
              <w:jc w:val="both"/>
              <w:rPr>
                <w:rFonts w:ascii="Candara" w:hAnsi="Candara"/>
              </w:rPr>
            </w:pPr>
            <w:r w:rsidRPr="00531DE6">
              <w:rPr>
                <w:rFonts w:ascii="Candara" w:hAnsi="Candara"/>
              </w:rPr>
              <w:t xml:space="preserve">22 stowarzyszenia zajmujące się promocją i upowszechnianiem kultury fizycznej, sportu i rekreacji oraz inicjowaniem i wspieraniem działań w sferze kultury i nauki, a także promowaniem regionu oraz podejmowaniem działań z zakresu turystyki i wypoczynku </w:t>
            </w:r>
          </w:p>
          <w:p w:rsidR="009C3E70" w:rsidRPr="00531DE6" w:rsidRDefault="009C3E70" w:rsidP="009C3E70">
            <w:pPr>
              <w:jc w:val="both"/>
              <w:rPr>
                <w:rFonts w:ascii="Candara" w:hAnsi="Candara"/>
              </w:rPr>
            </w:pPr>
            <w:r w:rsidRPr="00531DE6">
              <w:rPr>
                <w:rFonts w:ascii="Candara" w:hAnsi="Candara"/>
              </w:rPr>
              <w:t>bardzo duże zaangażowanie mieszkańców w działalność zespołów artystycznych oraz klubów (kół) zainteresowań - liczba członków zespołów artystycznych na 1000 mieszkańców wyniosła 26</w:t>
            </w:r>
            <w:r w:rsidRPr="00531DE6">
              <w:rPr>
                <w:rFonts w:ascii="Candara" w:hAnsi="Candara"/>
                <w:b/>
              </w:rPr>
              <w:t xml:space="preserve"> </w:t>
            </w:r>
            <w:r w:rsidRPr="00531DE6">
              <w:rPr>
                <w:rFonts w:ascii="Candara" w:hAnsi="Candara"/>
              </w:rPr>
              <w:t xml:space="preserve">(Polska: 7, województwo małopolskie: 9, powiat nowosądecki: 22), </w:t>
            </w:r>
            <w:r w:rsidRPr="00531DE6">
              <w:rPr>
                <w:rFonts w:ascii="Candara" w:hAnsi="Candara"/>
              </w:rPr>
              <w:lastRenderedPageBreak/>
              <w:t xml:space="preserve">liczba członków kół zainteresowań w przeliczeniu na 1000 mieszańców wynosiła 18 osób (Polska: 11, województwo małopolskie: 11, powiat nowosądecki: 11) </w:t>
            </w:r>
          </w:p>
          <w:p w:rsidR="009C3E70" w:rsidRPr="00531DE6" w:rsidRDefault="009C3E70" w:rsidP="009C3E70">
            <w:pPr>
              <w:jc w:val="both"/>
              <w:rPr>
                <w:rFonts w:ascii="Candara" w:hAnsi="Candara"/>
              </w:rPr>
            </w:pPr>
            <w:r w:rsidRPr="00531DE6">
              <w:rPr>
                <w:rFonts w:ascii="Candara" w:hAnsi="Candara"/>
              </w:rPr>
              <w:t xml:space="preserve">46 zabytków wpisanych do Rejestru Zabytków Nieruchomych Województwa Małopolskiego </w:t>
            </w:r>
          </w:p>
          <w:p w:rsidR="009C3E70" w:rsidRPr="00531DE6" w:rsidRDefault="009C3E70" w:rsidP="009C3E70">
            <w:pPr>
              <w:jc w:val="both"/>
              <w:rPr>
                <w:rFonts w:ascii="Candara" w:hAnsi="Candara"/>
              </w:rPr>
            </w:pPr>
            <w:r w:rsidRPr="00531DE6">
              <w:rPr>
                <w:rFonts w:ascii="Candara" w:hAnsi="Candara"/>
              </w:rPr>
              <w:t>nowe obiekty sportowo-rekreacyjne</w:t>
            </w:r>
            <w:r w:rsidRPr="00531DE6">
              <w:rPr>
                <w:rFonts w:ascii="Candara" w:hAnsi="Candara"/>
                <w:b/>
              </w:rPr>
              <w:t xml:space="preserve"> </w:t>
            </w:r>
            <w:r w:rsidRPr="00531DE6">
              <w:rPr>
                <w:rFonts w:ascii="Candara" w:hAnsi="Candara"/>
              </w:rPr>
              <w:t xml:space="preserve">(m. in. siłownia zewnętrzna w gminie Chełmiec, place zabaw w gminie Kamionka Wielka, scena widowiskowa w Królowej Górnej, centrum lekkoatletyczne w </w:t>
            </w:r>
            <w:proofErr w:type="spellStart"/>
            <w:r w:rsidRPr="00531DE6">
              <w:rPr>
                <w:rFonts w:ascii="Candara" w:hAnsi="Candara"/>
              </w:rPr>
              <w:t>Binczarowej</w:t>
            </w:r>
            <w:proofErr w:type="spellEnd"/>
            <w:r w:rsidRPr="00531DE6">
              <w:rPr>
                <w:rFonts w:ascii="Candara" w:hAnsi="Candara"/>
              </w:rPr>
              <w:t xml:space="preserve">, obiekty turystyczno-rekreacyjne w Wyskitnej). W ostatnich latach powstała baza sportowa Gminy Chełmiec (kompleks sportowy Orlik w Świniarsku, sale gimnastyczne w Piątkowej, Marcinkowicach, Świniarsku, Librantowej, Paszynie, Trzetrzewinie i Chełmcu) </w:t>
            </w:r>
          </w:p>
          <w:p w:rsidR="009C3E70" w:rsidRPr="00531DE6" w:rsidRDefault="009C3E70" w:rsidP="009C3E70">
            <w:pPr>
              <w:jc w:val="both"/>
              <w:rPr>
                <w:rFonts w:ascii="Candara" w:hAnsi="Candara"/>
                <w:b/>
              </w:rPr>
            </w:pPr>
            <w:r w:rsidRPr="00531DE6">
              <w:rPr>
                <w:rFonts w:ascii="Candara" w:hAnsi="Candara"/>
              </w:rPr>
              <w:t>spory potencjał przyrodniczy i historyczny obszaru</w:t>
            </w:r>
            <w:r w:rsidRPr="00531DE6">
              <w:rPr>
                <w:rFonts w:ascii="Candara" w:hAnsi="Candara"/>
                <w:b/>
              </w:rPr>
              <w:t xml:space="preserve">: </w:t>
            </w:r>
            <w:r w:rsidRPr="00531DE6">
              <w:rPr>
                <w:rFonts w:ascii="Candara" w:hAnsi="Candara"/>
              </w:rPr>
              <w:t xml:space="preserve">położenie na obszarze Pogórza Rożnowsko-Ciężkowickiego (zachodni masyw Beskidu Niskiego), z zachodu ograniczone górskimi wzniesieniami Beskidu Wyspowego, atrakcyjne widokowo tereny przyj ujściu Smolnika do Dunajca </w:t>
            </w:r>
            <w:proofErr w:type="spellStart"/>
            <w:r w:rsidRPr="00531DE6">
              <w:rPr>
                <w:rFonts w:ascii="Candara" w:hAnsi="Candara"/>
              </w:rPr>
              <w:t>Białowłodzka</w:t>
            </w:r>
            <w:proofErr w:type="spellEnd"/>
            <w:r w:rsidRPr="00531DE6">
              <w:rPr>
                <w:rFonts w:ascii="Candara" w:hAnsi="Candara"/>
              </w:rPr>
              <w:t xml:space="preserve"> Góra i leśny rezerwat przyrody; miejscowość Paszyn – ośrodek autentycznej rzeźby ludowej i prymitywnego malarstwa, muzeum etnograficzne, znajduje się tu dawna Łemkowszczyzna (zabytkowa cerkiew w Ptaszkowej wpisana listę UNESCO, a także inne, między innymi w </w:t>
            </w:r>
            <w:proofErr w:type="spellStart"/>
            <w:r w:rsidRPr="00531DE6">
              <w:rPr>
                <w:rFonts w:ascii="Candara" w:hAnsi="Candara"/>
              </w:rPr>
              <w:t>Binczarowej</w:t>
            </w:r>
            <w:proofErr w:type="spellEnd"/>
            <w:r w:rsidRPr="00531DE6">
              <w:rPr>
                <w:rFonts w:ascii="Candara" w:hAnsi="Candara"/>
              </w:rPr>
              <w:t xml:space="preserve">, Kąclowej, Krużlowej Wyżnej), Skansen Pszczelarski im. Bogdana </w:t>
            </w:r>
            <w:proofErr w:type="spellStart"/>
            <w:r w:rsidRPr="00531DE6">
              <w:rPr>
                <w:rFonts w:ascii="Candara" w:hAnsi="Candara"/>
              </w:rPr>
              <w:t>Szymusika</w:t>
            </w:r>
            <w:proofErr w:type="spellEnd"/>
            <w:r w:rsidRPr="00531DE6">
              <w:rPr>
                <w:rFonts w:ascii="Candara" w:hAnsi="Candara"/>
              </w:rPr>
              <w:t xml:space="preserve"> w Stróżach, </w:t>
            </w:r>
          </w:p>
          <w:p w:rsidR="009C3E70" w:rsidRPr="00531DE6" w:rsidRDefault="009C3E70" w:rsidP="009C3E70">
            <w:pPr>
              <w:jc w:val="both"/>
              <w:rPr>
                <w:rFonts w:ascii="Candara" w:hAnsi="Candara"/>
              </w:rPr>
            </w:pPr>
            <w:r w:rsidRPr="00531DE6">
              <w:rPr>
                <w:rFonts w:ascii="Candara" w:hAnsi="Candara"/>
              </w:rPr>
              <w:t>Mnogość obszarów objętych różnymi formami ochrony przyrody - 19228,1 ha obszarów prawnie chronionych, 37 pomników przyrody, rezerwaty, pomniki przyrody, park krajobrazowy</w:t>
            </w:r>
          </w:p>
          <w:p w:rsidR="009C3E70" w:rsidRPr="00531DE6" w:rsidRDefault="009C3E70" w:rsidP="009C3E70">
            <w:pPr>
              <w:jc w:val="both"/>
              <w:rPr>
                <w:rFonts w:ascii="Candara" w:hAnsi="Candara"/>
              </w:rPr>
            </w:pPr>
            <w:r w:rsidRPr="00531DE6">
              <w:rPr>
                <w:rFonts w:ascii="Candara" w:hAnsi="Candara"/>
              </w:rPr>
              <w:t>Atrakcje turystyczne w postaci część Szlaku Architektury Drewnianej,</w:t>
            </w:r>
            <w:r w:rsidRPr="00531DE6">
              <w:rPr>
                <w:rFonts w:ascii="Candara" w:hAnsi="Candara"/>
                <w:b/>
              </w:rPr>
              <w:t xml:space="preserve"> </w:t>
            </w:r>
            <w:r w:rsidRPr="00531DE6">
              <w:rPr>
                <w:rFonts w:ascii="Candara" w:hAnsi="Candara"/>
              </w:rPr>
              <w:t xml:space="preserve">skansenu będącego częścią Muzeum Pszczelarstwa „Sądecki </w:t>
            </w:r>
            <w:r w:rsidRPr="00531DE6">
              <w:rPr>
                <w:rFonts w:ascii="Candara" w:hAnsi="Candara"/>
              </w:rPr>
              <w:lastRenderedPageBreak/>
              <w:t xml:space="preserve">Bartnik” oraz miejscowość Paszyn, w której znajduje się Muzeum Sztuki Ludowej im. ks. E. Nitki </w:t>
            </w:r>
          </w:p>
          <w:p w:rsidR="009C3E70" w:rsidRPr="00531DE6" w:rsidRDefault="009C3E70" w:rsidP="009C3E70">
            <w:pPr>
              <w:jc w:val="both"/>
              <w:rPr>
                <w:rFonts w:ascii="Candara" w:hAnsi="Candara"/>
                <w:b/>
              </w:rPr>
            </w:pPr>
            <w:r w:rsidRPr="00531DE6">
              <w:rPr>
                <w:rFonts w:ascii="Candara" w:hAnsi="Candara"/>
              </w:rPr>
              <w:t>cztery ścieżki przyrodnicze</w:t>
            </w:r>
            <w:r w:rsidRPr="00531DE6">
              <w:rPr>
                <w:rFonts w:ascii="Candara" w:hAnsi="Candara"/>
                <w:b/>
              </w:rPr>
              <w:t xml:space="preserve"> </w:t>
            </w:r>
            <w:r w:rsidRPr="00531DE6">
              <w:rPr>
                <w:rFonts w:ascii="Candara" w:hAnsi="Candara"/>
              </w:rPr>
              <w:t>(Biała Niżna, Ptaszkowa, Stróże, „</w:t>
            </w:r>
            <w:proofErr w:type="spellStart"/>
            <w:r w:rsidRPr="00531DE6">
              <w:rPr>
                <w:rFonts w:ascii="Candara" w:hAnsi="Candara"/>
              </w:rPr>
              <w:t>Rachelowskie</w:t>
            </w:r>
            <w:proofErr w:type="spellEnd"/>
            <w:r w:rsidRPr="00531DE6">
              <w:rPr>
                <w:rFonts w:ascii="Candara" w:hAnsi="Candara"/>
              </w:rPr>
              <w:t xml:space="preserve"> Góry”) </w:t>
            </w:r>
          </w:p>
          <w:p w:rsidR="009C3E70" w:rsidRPr="00531DE6" w:rsidRDefault="009C3E70" w:rsidP="009C3E70">
            <w:pPr>
              <w:jc w:val="both"/>
              <w:rPr>
                <w:rFonts w:ascii="Candara" w:hAnsi="Candara"/>
              </w:rPr>
            </w:pPr>
            <w:r w:rsidRPr="00531DE6">
              <w:rPr>
                <w:rFonts w:ascii="Candara" w:hAnsi="Candara"/>
              </w:rPr>
              <w:t>2 stacje narciarskie</w:t>
            </w:r>
            <w:r w:rsidRPr="00531DE6">
              <w:rPr>
                <w:rFonts w:ascii="Candara" w:hAnsi="Candara"/>
                <w:b/>
              </w:rPr>
              <w:t xml:space="preserve"> </w:t>
            </w:r>
            <w:r w:rsidRPr="00531DE6">
              <w:rPr>
                <w:rFonts w:ascii="Candara" w:hAnsi="Candara"/>
              </w:rPr>
              <w:t>(Stacja narciarska „Cieniawa-SKI”, Wyciąg narciarski PKS Jaworze w Ptaszkowej)</w:t>
            </w:r>
          </w:p>
          <w:p w:rsidR="009C3E70" w:rsidRPr="00531DE6" w:rsidRDefault="009C3E70" w:rsidP="009C3E70">
            <w:pPr>
              <w:jc w:val="both"/>
              <w:rPr>
                <w:rFonts w:ascii="Candara" w:hAnsi="Candara"/>
              </w:rPr>
            </w:pPr>
            <w:r w:rsidRPr="00531DE6">
              <w:rPr>
                <w:rFonts w:ascii="Candara" w:hAnsi="Candara"/>
              </w:rPr>
              <w:t xml:space="preserve">Ośrodek Hipoterapii w centrum Szkoleniowo-Rehabilitacyjnym im. o. Pio w Stróżach </w:t>
            </w:r>
          </w:p>
          <w:p w:rsidR="009C3E70" w:rsidRPr="00531DE6" w:rsidRDefault="009C3E70" w:rsidP="009C3E70">
            <w:pPr>
              <w:jc w:val="both"/>
              <w:rPr>
                <w:rFonts w:ascii="Candara" w:hAnsi="Candara"/>
              </w:rPr>
            </w:pPr>
            <w:r w:rsidRPr="00531DE6">
              <w:rPr>
                <w:rFonts w:ascii="Candara" w:hAnsi="Candara"/>
              </w:rPr>
              <w:t>12 kulinarnych produktów lokalnych wyróżnionych w projekcie „Lokalne inicjatywy na rzecz rozwoju regionalnego powiatu gorlickiego i nowosądeckiego”</w:t>
            </w:r>
          </w:p>
          <w:p w:rsidR="009C3E70" w:rsidRPr="00531DE6" w:rsidRDefault="009C3E70" w:rsidP="009C3E70">
            <w:pPr>
              <w:jc w:val="both"/>
              <w:rPr>
                <w:rFonts w:ascii="Candara" w:hAnsi="Candara"/>
              </w:rPr>
            </w:pPr>
            <w:r w:rsidRPr="00531DE6">
              <w:rPr>
                <w:rFonts w:ascii="Candara" w:hAnsi="Candara"/>
              </w:rPr>
              <w:t>26 rękodzielniczych produktów lokalnych</w:t>
            </w:r>
            <w:r w:rsidRPr="00531DE6">
              <w:rPr>
                <w:rFonts w:ascii="Candara" w:hAnsi="Candara"/>
                <w:b/>
              </w:rPr>
              <w:t xml:space="preserve"> </w:t>
            </w:r>
            <w:r w:rsidRPr="00531DE6">
              <w:rPr>
                <w:rFonts w:ascii="Candara" w:hAnsi="Candara"/>
              </w:rPr>
              <w:t>wyróżnionych w projekcie „Lokalne inicjatywy na rzecz rozwoju regionalnego powiatu gorlickiego i nowosądeckiego”</w:t>
            </w:r>
          </w:p>
          <w:p w:rsidR="009C3E70" w:rsidRPr="00531DE6" w:rsidRDefault="009C3E70" w:rsidP="009C3E70">
            <w:pPr>
              <w:jc w:val="both"/>
              <w:rPr>
                <w:rFonts w:ascii="Candara" w:hAnsi="Candara"/>
              </w:rPr>
            </w:pPr>
            <w:r w:rsidRPr="00531DE6">
              <w:rPr>
                <w:rFonts w:ascii="Candara" w:hAnsi="Candara"/>
              </w:rPr>
              <w:t>Gminy Kamionka Wielka i Grybów są członkami Sądeckiej Organizacji Turystycznej</w:t>
            </w:r>
          </w:p>
        </w:tc>
        <w:tc>
          <w:tcPr>
            <w:tcW w:w="4531" w:type="dxa"/>
          </w:tcPr>
          <w:p w:rsidR="009C3E70" w:rsidRPr="00531DE6" w:rsidRDefault="009C3E70" w:rsidP="009C3E70">
            <w:pPr>
              <w:jc w:val="both"/>
              <w:rPr>
                <w:rFonts w:ascii="Candara" w:hAnsi="Candara"/>
              </w:rPr>
            </w:pPr>
            <w:r w:rsidRPr="00531DE6">
              <w:rPr>
                <w:rFonts w:ascii="Candara" w:hAnsi="Candara"/>
              </w:rPr>
              <w:lastRenderedPageBreak/>
              <w:t>niewielka liczba (80) podmiotów gospodarczych w sekcji I – Działalność związana z zakwaterowaniem i usługami gastronomicznymi</w:t>
            </w:r>
            <w:r w:rsidRPr="00531DE6">
              <w:rPr>
                <w:rFonts w:ascii="Candara" w:hAnsi="Candara"/>
                <w:b/>
              </w:rPr>
              <w:t xml:space="preserve"> </w:t>
            </w:r>
            <w:r w:rsidRPr="00531DE6">
              <w:rPr>
                <w:rFonts w:ascii="Candara" w:hAnsi="Candara"/>
              </w:rPr>
              <w:t xml:space="preserve">(1,7% wszystkich zarejestrowanych podmiotów gospodarczych w sekcjach PKD) </w:t>
            </w:r>
          </w:p>
          <w:p w:rsidR="009C3E70" w:rsidRPr="00531DE6" w:rsidRDefault="009C3E70" w:rsidP="009C3E70">
            <w:pPr>
              <w:jc w:val="both"/>
              <w:rPr>
                <w:rFonts w:ascii="Candara" w:hAnsi="Candara"/>
              </w:rPr>
            </w:pPr>
            <w:r w:rsidRPr="00531DE6">
              <w:rPr>
                <w:rFonts w:ascii="Candara" w:hAnsi="Candara"/>
              </w:rPr>
              <w:t xml:space="preserve">stosunkowo niewielka liczba miejsc noclegowych (430 miejsc noclegowych w 22 miejscach) </w:t>
            </w:r>
          </w:p>
          <w:p w:rsidR="009C3E70" w:rsidRPr="00531DE6" w:rsidRDefault="009C3E70" w:rsidP="009C3E70">
            <w:pPr>
              <w:jc w:val="both"/>
              <w:rPr>
                <w:rFonts w:ascii="Candara" w:hAnsi="Candara"/>
                <w:b/>
              </w:rPr>
            </w:pPr>
            <w:r w:rsidRPr="00531DE6">
              <w:rPr>
                <w:rFonts w:ascii="Candara" w:hAnsi="Candara"/>
              </w:rPr>
              <w:t xml:space="preserve">brak wyraźnego centrum ruchu turystycznego, głównego, rozpoznawalnego i wypromowanego produktu turystycznego </w:t>
            </w:r>
          </w:p>
          <w:p w:rsidR="009C3E70" w:rsidRPr="00531DE6" w:rsidRDefault="009C3E70" w:rsidP="009C3E70">
            <w:pPr>
              <w:jc w:val="both"/>
              <w:rPr>
                <w:rFonts w:ascii="Candara" w:hAnsi="Candara"/>
                <w:b/>
              </w:rPr>
            </w:pPr>
            <w:r w:rsidRPr="00531DE6">
              <w:rPr>
                <w:rFonts w:ascii="Candara" w:hAnsi="Candara"/>
              </w:rPr>
              <w:t>baza gastronomiczna</w:t>
            </w:r>
            <w:r w:rsidRPr="00531DE6">
              <w:rPr>
                <w:rFonts w:ascii="Candara" w:hAnsi="Candara"/>
                <w:b/>
              </w:rPr>
              <w:t xml:space="preserve"> </w:t>
            </w:r>
            <w:r w:rsidRPr="00531DE6">
              <w:rPr>
                <w:rFonts w:ascii="Candara" w:hAnsi="Candara"/>
              </w:rPr>
              <w:t>– niewielka, mało urozmaicona, mało informacji o lokalach gastronomicznych na portalach informacyjnych i serwisach społecznościowych</w:t>
            </w:r>
            <w:r w:rsidRPr="00531DE6">
              <w:rPr>
                <w:rFonts w:ascii="Candara" w:hAnsi="Candara"/>
                <w:b/>
              </w:rPr>
              <w:t xml:space="preserve"> </w:t>
            </w:r>
          </w:p>
          <w:p w:rsidR="009C3E70" w:rsidRPr="00531DE6" w:rsidRDefault="009C3E70" w:rsidP="009C3E70">
            <w:pPr>
              <w:jc w:val="both"/>
              <w:rPr>
                <w:rFonts w:ascii="Candara" w:hAnsi="Candara"/>
              </w:rPr>
            </w:pPr>
            <w:r w:rsidRPr="00531DE6">
              <w:rPr>
                <w:rFonts w:ascii="Candara" w:hAnsi="Candara"/>
              </w:rPr>
              <w:t>słaba promocja oferty turystycznej poza LGD</w:t>
            </w:r>
          </w:p>
          <w:p w:rsidR="009C3E70" w:rsidRPr="00531DE6" w:rsidRDefault="009C3E70" w:rsidP="009C3E70">
            <w:pPr>
              <w:jc w:val="both"/>
              <w:rPr>
                <w:rFonts w:ascii="Candara" w:hAnsi="Candara"/>
                <w:b/>
              </w:rPr>
            </w:pPr>
            <w:r w:rsidRPr="00531DE6">
              <w:rPr>
                <w:rFonts w:ascii="Candara" w:hAnsi="Candara"/>
              </w:rPr>
              <w:t>mało urozmaicona oferta wydarzeń kulturalnych,</w:t>
            </w:r>
            <w:r w:rsidRPr="00531DE6">
              <w:rPr>
                <w:rFonts w:ascii="Candara" w:hAnsi="Candara"/>
                <w:b/>
              </w:rPr>
              <w:t xml:space="preserve"> </w:t>
            </w:r>
            <w:r w:rsidRPr="00531DE6">
              <w:rPr>
                <w:rFonts w:ascii="Candara" w:hAnsi="Candara"/>
              </w:rPr>
              <w:t xml:space="preserve">organizowanie wydarzeń głównie o tematyce ludowej, nawiązującej do tradycji Sądecczyzny. </w:t>
            </w:r>
          </w:p>
          <w:p w:rsidR="009C3E70" w:rsidRPr="00531DE6" w:rsidRDefault="009C3E70" w:rsidP="009C3E70">
            <w:pPr>
              <w:jc w:val="both"/>
              <w:rPr>
                <w:rFonts w:ascii="Candara" w:hAnsi="Candara"/>
              </w:rPr>
            </w:pPr>
            <w:r w:rsidRPr="00531DE6">
              <w:rPr>
                <w:rFonts w:ascii="Candara" w:hAnsi="Candara"/>
              </w:rPr>
              <w:t>Słabo rozwinięta infrastruktura turystyczna – uzupełniająca pobyt odwiedzających obszar LGD</w:t>
            </w:r>
          </w:p>
          <w:p w:rsidR="009C3E70" w:rsidRPr="00531DE6" w:rsidRDefault="009C3E70" w:rsidP="009C3E70">
            <w:pPr>
              <w:jc w:val="both"/>
              <w:rPr>
                <w:rFonts w:ascii="Candara" w:hAnsi="Candara"/>
              </w:rPr>
            </w:pPr>
            <w:r w:rsidRPr="00531DE6">
              <w:rPr>
                <w:rFonts w:ascii="Candara" w:hAnsi="Candara"/>
              </w:rPr>
              <w:t>45% mieszkańców obszaru LGD niezadowolonych z rozwoju oferty turystycznej na ich terenie</w:t>
            </w:r>
          </w:p>
          <w:p w:rsidR="009C3E70" w:rsidRPr="00531DE6" w:rsidRDefault="009C3E70" w:rsidP="009C3E70">
            <w:pPr>
              <w:jc w:val="both"/>
              <w:rPr>
                <w:rFonts w:ascii="Candara" w:hAnsi="Candara"/>
              </w:rPr>
            </w:pPr>
            <w:r w:rsidRPr="00531DE6">
              <w:rPr>
                <w:rFonts w:ascii="Candara" w:hAnsi="Candara"/>
              </w:rPr>
              <w:t>Słaba i mało widoczna współpraca podmiotów z obszaru turystyki w celu wzajemnej promocji i informacji</w:t>
            </w:r>
          </w:p>
          <w:p w:rsidR="009C3E70" w:rsidRPr="00531DE6" w:rsidRDefault="009C3E70" w:rsidP="009C3E70">
            <w:pPr>
              <w:jc w:val="both"/>
              <w:rPr>
                <w:rFonts w:ascii="Candara" w:hAnsi="Candara"/>
                <w:b/>
              </w:rPr>
            </w:pPr>
            <w:r w:rsidRPr="00531DE6">
              <w:rPr>
                <w:rFonts w:ascii="Candara" w:hAnsi="Candara"/>
              </w:rPr>
              <w:t xml:space="preserve">Niewykorzystany potencjał i brak </w:t>
            </w:r>
            <w:r w:rsidRPr="00531DE6">
              <w:rPr>
                <w:rFonts w:ascii="Candara" w:hAnsi="Candara"/>
              </w:rPr>
              <w:lastRenderedPageBreak/>
              <w:t xml:space="preserve">zagospodarowania zbiorników wodnych na terenie LGD </w:t>
            </w:r>
          </w:p>
          <w:p w:rsidR="009C3E70" w:rsidRPr="00531DE6" w:rsidRDefault="009C3E70" w:rsidP="009C3E70">
            <w:pPr>
              <w:rPr>
                <w:rFonts w:ascii="Candara" w:hAnsi="Candara"/>
              </w:rPr>
            </w:pPr>
          </w:p>
        </w:tc>
      </w:tr>
      <w:tr w:rsidR="009C3E70" w:rsidRPr="00531DE6" w:rsidTr="00DA3BED">
        <w:tc>
          <w:tcPr>
            <w:tcW w:w="4531" w:type="dxa"/>
            <w:shd w:val="clear" w:color="auto" w:fill="A8D08D" w:themeFill="accent6" w:themeFillTint="99"/>
          </w:tcPr>
          <w:p w:rsidR="009C3E70" w:rsidRPr="00531DE6" w:rsidRDefault="009C3E70" w:rsidP="009C3E70">
            <w:pPr>
              <w:jc w:val="center"/>
              <w:rPr>
                <w:rFonts w:ascii="Candara" w:hAnsi="Candara"/>
                <w:b/>
              </w:rPr>
            </w:pPr>
            <w:r w:rsidRPr="00531DE6">
              <w:rPr>
                <w:rFonts w:ascii="Candara" w:hAnsi="Candara"/>
                <w:b/>
              </w:rPr>
              <w:lastRenderedPageBreak/>
              <w:t>Szanse</w:t>
            </w:r>
          </w:p>
        </w:tc>
        <w:tc>
          <w:tcPr>
            <w:tcW w:w="4531" w:type="dxa"/>
            <w:shd w:val="clear" w:color="auto" w:fill="A8D08D" w:themeFill="accent6" w:themeFillTint="99"/>
          </w:tcPr>
          <w:p w:rsidR="009C3E70" w:rsidRPr="00531DE6" w:rsidRDefault="009C3E70" w:rsidP="009C3E70">
            <w:pPr>
              <w:jc w:val="center"/>
              <w:rPr>
                <w:rFonts w:ascii="Candara" w:hAnsi="Candara"/>
                <w:b/>
              </w:rPr>
            </w:pPr>
            <w:r w:rsidRPr="00531DE6">
              <w:rPr>
                <w:rFonts w:ascii="Candara" w:hAnsi="Candara"/>
                <w:b/>
              </w:rPr>
              <w:t>Zagrożenia</w:t>
            </w:r>
          </w:p>
        </w:tc>
      </w:tr>
      <w:tr w:rsidR="009C3E70" w:rsidRPr="00531DE6" w:rsidTr="00DA3BED">
        <w:tc>
          <w:tcPr>
            <w:tcW w:w="4531" w:type="dxa"/>
          </w:tcPr>
          <w:p w:rsidR="009C3E70" w:rsidRPr="00531DE6" w:rsidRDefault="009C3E70" w:rsidP="009C3E70">
            <w:pPr>
              <w:rPr>
                <w:rFonts w:ascii="Candara" w:hAnsi="Candara"/>
              </w:rPr>
            </w:pPr>
            <w:r w:rsidRPr="00531DE6">
              <w:rPr>
                <w:rFonts w:ascii="Candara" w:hAnsi="Candara"/>
              </w:rPr>
              <w:t>Dostęp klienta lokalnego rynku turystycznego - korzystne położenie względem innych, atrakcyjnych turystycznie miejscowości w powiecie i regionie;</w:t>
            </w:r>
          </w:p>
          <w:p w:rsidR="009C3E70" w:rsidRPr="00531DE6" w:rsidRDefault="009C3E70" w:rsidP="009C3E70">
            <w:pPr>
              <w:rPr>
                <w:rFonts w:ascii="Candara" w:hAnsi="Candara"/>
              </w:rPr>
            </w:pPr>
            <w:r w:rsidRPr="00531DE6">
              <w:rPr>
                <w:rFonts w:ascii="Candara" w:hAnsi="Candara"/>
              </w:rPr>
              <w:t>plany szybkiego połączenia z autostradą A4 poprzez przebudowę tzw. sądeczanki na trasie Brzesko – Nowy Sącz (trasa uwzględniona w rządowym Programie Budowy Dróg Krajowych do 2023 r.);</w:t>
            </w:r>
          </w:p>
          <w:p w:rsidR="009C3E70" w:rsidRPr="00531DE6" w:rsidRDefault="009C3E70" w:rsidP="009C3E70">
            <w:pPr>
              <w:rPr>
                <w:rFonts w:ascii="Candara" w:hAnsi="Candara"/>
              </w:rPr>
            </w:pPr>
            <w:r w:rsidRPr="00531DE6">
              <w:rPr>
                <w:rFonts w:ascii="Candara" w:hAnsi="Candara"/>
              </w:rPr>
              <w:t>współpraca podmiotów publicznych, prywatnych i społecznych na rzecz aktywizacji turystycznej i kulturalnej, np. w ramach partnerstw terytorialnych, lokalnych grup działania, lokalnych organizacji turystycznych;</w:t>
            </w:r>
          </w:p>
          <w:p w:rsidR="009C3E70" w:rsidRPr="00531DE6" w:rsidRDefault="009C3E70" w:rsidP="009C3E70">
            <w:pPr>
              <w:rPr>
                <w:rFonts w:ascii="Candara" w:hAnsi="Candara"/>
              </w:rPr>
            </w:pPr>
            <w:r w:rsidRPr="00531DE6">
              <w:rPr>
                <w:rFonts w:ascii="Candara" w:hAnsi="Candara"/>
              </w:rPr>
              <w:t xml:space="preserve">zainteresowanie w społeczeństwie wypoczynkiem aktywnym, rekreacją i </w:t>
            </w:r>
            <w:r w:rsidRPr="00531DE6">
              <w:rPr>
                <w:rFonts w:ascii="Candara" w:hAnsi="Candara"/>
              </w:rPr>
              <w:lastRenderedPageBreak/>
              <w:t>uprawianiem sportów;</w:t>
            </w:r>
          </w:p>
          <w:p w:rsidR="009C3E70" w:rsidRPr="00531DE6" w:rsidRDefault="009C3E70" w:rsidP="009C3E70">
            <w:pPr>
              <w:rPr>
                <w:rFonts w:ascii="Candara" w:hAnsi="Candara"/>
              </w:rPr>
            </w:pPr>
            <w:r w:rsidRPr="00531DE6">
              <w:rPr>
                <w:rFonts w:ascii="Candara" w:hAnsi="Candara"/>
              </w:rPr>
              <w:t>popularyzacja turystyki weekendowej wśród Polaków;</w:t>
            </w:r>
          </w:p>
          <w:p w:rsidR="009C3E70" w:rsidRPr="00531DE6" w:rsidRDefault="009C3E70" w:rsidP="009C3E70">
            <w:pPr>
              <w:rPr>
                <w:rFonts w:ascii="Candara" w:hAnsi="Candara"/>
              </w:rPr>
            </w:pPr>
            <w:r w:rsidRPr="00531DE6">
              <w:rPr>
                <w:rFonts w:ascii="Candara" w:hAnsi="Candara"/>
              </w:rPr>
              <w:t>moda na lokalność, odrywanie tradycji, lokalnego dziedzictwa, produktów lokalnych;</w:t>
            </w:r>
          </w:p>
          <w:p w:rsidR="009C3E70" w:rsidRPr="00531DE6" w:rsidRDefault="009C3E70" w:rsidP="009C3E70">
            <w:pPr>
              <w:rPr>
                <w:rFonts w:ascii="Candara" w:hAnsi="Candara"/>
              </w:rPr>
            </w:pPr>
            <w:r w:rsidRPr="00531DE6">
              <w:rPr>
                <w:rFonts w:ascii="Candara" w:hAnsi="Candara"/>
              </w:rPr>
              <w:t>wzrost zainteresowania i świadomości w zakresie naturalnych, ekologicznych produktów;</w:t>
            </w:r>
          </w:p>
          <w:p w:rsidR="009C3E70" w:rsidRPr="00531DE6" w:rsidRDefault="009C3E70" w:rsidP="009C3E70">
            <w:pPr>
              <w:rPr>
                <w:rFonts w:ascii="Candara" w:hAnsi="Candara"/>
              </w:rPr>
            </w:pPr>
            <w:r w:rsidRPr="00531DE6">
              <w:rPr>
                <w:rFonts w:ascii="Candara" w:hAnsi="Candara"/>
              </w:rPr>
              <w:t>moda na turystykę 3xE – połączenie rozrywki, doświadczenia i edukacji;</w:t>
            </w:r>
          </w:p>
          <w:p w:rsidR="009C3E70" w:rsidRPr="00531DE6" w:rsidRDefault="009C3E70" w:rsidP="009C3E70">
            <w:pPr>
              <w:rPr>
                <w:rFonts w:ascii="Candara" w:hAnsi="Candara"/>
              </w:rPr>
            </w:pPr>
            <w:r w:rsidRPr="00531DE6">
              <w:rPr>
                <w:rFonts w:ascii="Candara" w:hAnsi="Candara"/>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4531" w:type="dxa"/>
          </w:tcPr>
          <w:p w:rsidR="009C3E70" w:rsidRPr="00531DE6" w:rsidRDefault="009C3E70" w:rsidP="009C3E70">
            <w:pPr>
              <w:rPr>
                <w:rFonts w:ascii="Candara" w:hAnsi="Candara"/>
              </w:rPr>
            </w:pPr>
            <w:r w:rsidRPr="00531DE6">
              <w:rPr>
                <w:rFonts w:ascii="Candara" w:hAnsi="Candara"/>
              </w:rPr>
              <w:lastRenderedPageBreak/>
              <w:t>tworzenie i rozwój konkurencyjnych regionów turystycznych opartych na podobnych walorach przyrodniczych (obszary leśne, podgórskie) i turystyce aktywnej w najbliższym otoczeniu LGD (Krynica Górska, Muszyna, Szczawnica, Krościenko nad Dunajcem);</w:t>
            </w:r>
          </w:p>
          <w:p w:rsidR="009C3E70" w:rsidRPr="00531DE6" w:rsidRDefault="009C3E70" w:rsidP="009C3E70">
            <w:pPr>
              <w:rPr>
                <w:rFonts w:ascii="Candara" w:hAnsi="Candara"/>
              </w:rPr>
            </w:pPr>
            <w:r w:rsidRPr="00531DE6">
              <w:rPr>
                <w:rFonts w:ascii="Candara" w:hAnsi="Candara"/>
              </w:rPr>
              <w:t xml:space="preserve">postępująca </w:t>
            </w:r>
            <w:proofErr w:type="spellStart"/>
            <w:r w:rsidRPr="00531DE6">
              <w:rPr>
                <w:rFonts w:ascii="Candara" w:hAnsi="Candara"/>
              </w:rPr>
              <w:t>suburbanizacja</w:t>
            </w:r>
            <w:proofErr w:type="spellEnd"/>
            <w:r w:rsidRPr="00531DE6">
              <w:rPr>
                <w:rFonts w:ascii="Candara" w:hAnsi="Candara"/>
              </w:rPr>
              <w:t xml:space="preserve"> – przeznaczania kolejnych działek rolnych na zabudowę jednorodzinną;</w:t>
            </w:r>
          </w:p>
          <w:p w:rsidR="009C3E70" w:rsidRPr="00531DE6" w:rsidRDefault="009C3E70" w:rsidP="009C3E70">
            <w:pPr>
              <w:rPr>
                <w:rFonts w:ascii="Candara" w:hAnsi="Candara"/>
              </w:rPr>
            </w:pPr>
            <w:r w:rsidRPr="00531DE6">
              <w:rPr>
                <w:rFonts w:ascii="Candara" w:hAnsi="Candara"/>
              </w:rPr>
              <w:t>słaba rozpoznawalność gmin z ternu LGD jako ośrodka turystycznego w skali regionalnej i ponadregionalnej, lub postrzeganie jej jako mało atrakcyjnej;</w:t>
            </w:r>
          </w:p>
        </w:tc>
      </w:tr>
      <w:tr w:rsidR="009C3E70" w:rsidRPr="00531DE6" w:rsidTr="00DA3BED">
        <w:tc>
          <w:tcPr>
            <w:tcW w:w="0" w:type="auto"/>
            <w:gridSpan w:val="2"/>
            <w:shd w:val="clear" w:color="auto" w:fill="A6A6A6" w:themeFill="background1" w:themeFillShade="A6"/>
          </w:tcPr>
          <w:p w:rsidR="009C3E70" w:rsidRPr="00531DE6" w:rsidRDefault="009C3E70" w:rsidP="001C0B89">
            <w:pPr>
              <w:keepNext/>
              <w:keepLines/>
              <w:spacing w:after="120"/>
              <w:jc w:val="center"/>
              <w:rPr>
                <w:rFonts w:ascii="Candara" w:hAnsi="Candara"/>
                <w:b/>
              </w:rPr>
            </w:pPr>
            <w:r w:rsidRPr="00531DE6">
              <w:rPr>
                <w:rFonts w:ascii="Candara" w:hAnsi="Candara"/>
                <w:b/>
              </w:rPr>
              <w:lastRenderedPageBreak/>
              <w:t>Rozwój wysokiej jakości przestrzeni do życia</w:t>
            </w:r>
          </w:p>
        </w:tc>
      </w:tr>
      <w:tr w:rsidR="009C3E70" w:rsidRPr="00531DE6" w:rsidTr="00DA3BED">
        <w:tc>
          <w:tcPr>
            <w:tcW w:w="4531" w:type="dxa"/>
            <w:shd w:val="clear" w:color="auto" w:fill="FFD966" w:themeFill="accent4" w:themeFillTint="99"/>
          </w:tcPr>
          <w:p w:rsidR="009C3E70" w:rsidRPr="00531DE6" w:rsidRDefault="009C3E70" w:rsidP="001C0B89">
            <w:pPr>
              <w:keepNext/>
              <w:keepLines/>
              <w:spacing w:after="120"/>
              <w:jc w:val="center"/>
              <w:rPr>
                <w:rFonts w:ascii="Candara" w:hAnsi="Candara"/>
                <w:b/>
              </w:rPr>
            </w:pPr>
            <w:r w:rsidRPr="00531DE6">
              <w:rPr>
                <w:rFonts w:ascii="Candara" w:hAnsi="Candara"/>
                <w:b/>
              </w:rPr>
              <w:t>Mocne strony</w:t>
            </w:r>
          </w:p>
        </w:tc>
        <w:tc>
          <w:tcPr>
            <w:tcW w:w="4531" w:type="dxa"/>
            <w:shd w:val="clear" w:color="auto" w:fill="FFD966" w:themeFill="accent4" w:themeFillTint="99"/>
          </w:tcPr>
          <w:p w:rsidR="009C3E70" w:rsidRPr="00531DE6" w:rsidRDefault="009C3E70" w:rsidP="001C0B89">
            <w:pPr>
              <w:keepNext/>
              <w:keepLines/>
              <w:spacing w:after="120"/>
              <w:jc w:val="center"/>
              <w:rPr>
                <w:rFonts w:ascii="Candara" w:hAnsi="Candara"/>
                <w:b/>
              </w:rPr>
            </w:pPr>
            <w:r w:rsidRPr="00531DE6">
              <w:rPr>
                <w:rFonts w:ascii="Candara" w:hAnsi="Candara"/>
                <w:b/>
              </w:rPr>
              <w:t>Słabe strony</w:t>
            </w:r>
          </w:p>
        </w:tc>
      </w:tr>
      <w:tr w:rsidR="009C3E70" w:rsidRPr="00531DE6" w:rsidTr="00DA3BED">
        <w:trPr>
          <w:trHeight w:val="6159"/>
        </w:trPr>
        <w:tc>
          <w:tcPr>
            <w:tcW w:w="4531" w:type="dxa"/>
          </w:tcPr>
          <w:p w:rsidR="009C3E70" w:rsidRPr="00531DE6" w:rsidRDefault="009C3E70" w:rsidP="001C0B89">
            <w:pPr>
              <w:keepNext/>
              <w:keepLines/>
              <w:rPr>
                <w:rFonts w:ascii="Candara" w:hAnsi="Candara"/>
              </w:rPr>
            </w:pPr>
            <w:r w:rsidRPr="00531DE6">
              <w:rPr>
                <w:rFonts w:ascii="Candara" w:hAnsi="Candara"/>
              </w:rPr>
              <w:t>Gmina Chełmiec czwarty raz z rzędu znalazła się na pierwszym miejscu w Polsce w kategorii „Najlepsza gmina wiejska 2014 roku”, oraz na trzecim miejscu w skali kraju w rankingu energii odnawialnej.</w:t>
            </w:r>
          </w:p>
          <w:p w:rsidR="009C3E70" w:rsidRPr="00531DE6" w:rsidRDefault="009C3E70" w:rsidP="001C0B89">
            <w:pPr>
              <w:keepNext/>
              <w:keepLines/>
              <w:rPr>
                <w:rFonts w:ascii="Candara" w:hAnsi="Candara"/>
              </w:rPr>
            </w:pPr>
            <w:r w:rsidRPr="00531DE6">
              <w:rPr>
                <w:rFonts w:ascii="Candara" w:hAnsi="Candara"/>
              </w:rPr>
              <w:t>Na przestrzeni lat 2009-2013 liczba przedszkoli na terenie LGD wzrosła o połowę (z 12 do 18)</w:t>
            </w:r>
          </w:p>
          <w:p w:rsidR="009C3E70" w:rsidRPr="00531DE6" w:rsidRDefault="009C3E70" w:rsidP="001C0B89">
            <w:pPr>
              <w:keepNext/>
              <w:keepLines/>
              <w:rPr>
                <w:rFonts w:ascii="Candara" w:hAnsi="Candara"/>
              </w:rPr>
            </w:pPr>
            <w:r w:rsidRPr="00531DE6">
              <w:rPr>
                <w:rFonts w:ascii="Candara" w:hAnsi="Candara"/>
              </w:rPr>
              <w:t>Bardzo wysoka ocena obszaru LGD jako miejsca do życia – uznało tak ponad 75% respondentów</w:t>
            </w:r>
          </w:p>
          <w:p w:rsidR="009C3E70" w:rsidRPr="00531DE6" w:rsidRDefault="009C3E70" w:rsidP="001C0B89">
            <w:pPr>
              <w:keepNext/>
              <w:keepLines/>
              <w:rPr>
                <w:rFonts w:ascii="Candara" w:hAnsi="Candara"/>
              </w:rPr>
            </w:pPr>
            <w:r w:rsidRPr="00531DE6">
              <w:rPr>
                <w:rFonts w:ascii="Candara" w:hAnsi="Candara"/>
              </w:rPr>
              <w:t>Stosunkowo duża aktywność mieszkańców i wysoki poziom odpowiedzialności za sprawy lokalne – wyraźnie wyższy poziom frekwencji w wyborach do wszystkich szczebli administracji samorządowej i państwowej niż średnia krajowa i wojewódzka</w:t>
            </w:r>
          </w:p>
          <w:p w:rsidR="009C3E70" w:rsidRPr="00531DE6" w:rsidRDefault="009C3E70" w:rsidP="001C0B89">
            <w:pPr>
              <w:keepNext/>
              <w:keepLines/>
              <w:rPr>
                <w:rFonts w:ascii="Candara" w:hAnsi="Candara"/>
              </w:rPr>
            </w:pPr>
            <w:r w:rsidRPr="00531DE6">
              <w:rPr>
                <w:rFonts w:ascii="Candara" w:hAnsi="Candara"/>
              </w:rPr>
              <w:t>Bardzo korzystne wskaźniki demograficzne – dodatni przyrost naturalny i migracyjny,</w:t>
            </w:r>
          </w:p>
        </w:tc>
        <w:tc>
          <w:tcPr>
            <w:tcW w:w="4531" w:type="dxa"/>
          </w:tcPr>
          <w:p w:rsidR="009C3E70" w:rsidRPr="00531DE6" w:rsidRDefault="009C3E70" w:rsidP="001C0B89">
            <w:pPr>
              <w:keepNext/>
              <w:keepLines/>
              <w:rPr>
                <w:rFonts w:ascii="Candara" w:hAnsi="Candara"/>
              </w:rPr>
            </w:pPr>
            <w:r w:rsidRPr="00531DE6">
              <w:rPr>
                <w:rFonts w:ascii="Candara" w:hAnsi="Candara"/>
              </w:rPr>
              <w:t>Stosunkowo wysoki odsetek ludności korzystającej z pomocy społecznej (15,8%) – średnia dla kraju (8,3%), dla województwa (6,3%)</w:t>
            </w:r>
          </w:p>
          <w:p w:rsidR="009C3E70" w:rsidRPr="00531DE6" w:rsidRDefault="009C3E70" w:rsidP="001C0B89">
            <w:pPr>
              <w:keepNext/>
              <w:keepLines/>
              <w:rPr>
                <w:rFonts w:ascii="Candara" w:hAnsi="Candara"/>
              </w:rPr>
            </w:pPr>
            <w:r w:rsidRPr="00531DE6">
              <w:rPr>
                <w:rFonts w:ascii="Candara" w:hAnsi="Candara"/>
              </w:rPr>
              <w:t xml:space="preserve">Relatywnie wysoka liczba rodzin otrzymujących zasiłki rodzinne </w:t>
            </w:r>
          </w:p>
          <w:p w:rsidR="009C3E70" w:rsidRPr="00531DE6" w:rsidRDefault="009C3E70" w:rsidP="001C0B89">
            <w:pPr>
              <w:keepNext/>
              <w:keepLines/>
              <w:rPr>
                <w:rFonts w:ascii="Candara" w:hAnsi="Candara"/>
              </w:rPr>
            </w:pPr>
            <w:r w:rsidRPr="00531DE6">
              <w:rPr>
                <w:rFonts w:ascii="Candara" w:hAnsi="Candara"/>
              </w:rPr>
              <w:t>Wzrost liczby mieszkańców kierowanych na leczenie ze względu na problemy alkoholowe</w:t>
            </w:r>
          </w:p>
          <w:p w:rsidR="009C3E70" w:rsidRPr="00531DE6" w:rsidRDefault="009C3E70" w:rsidP="001C0B89">
            <w:pPr>
              <w:keepNext/>
              <w:keepLines/>
              <w:rPr>
                <w:rFonts w:ascii="Candara" w:hAnsi="Candara"/>
              </w:rPr>
            </w:pPr>
            <w:r w:rsidRPr="00531DE6">
              <w:rPr>
                <w:rFonts w:ascii="Candara" w:hAnsi="Candara"/>
              </w:rPr>
              <w:t>Słaba dostępność do infrastruktury służby zdrowia – liczba mieszkańców na jedną przychodnię – 2964 (w Polsce – 1919, w województwie – 1932, w powiecie 2380)</w:t>
            </w:r>
          </w:p>
        </w:tc>
      </w:tr>
      <w:tr w:rsidR="009C3E70" w:rsidRPr="00531DE6" w:rsidTr="00DA3BED">
        <w:tc>
          <w:tcPr>
            <w:tcW w:w="4531" w:type="dxa"/>
            <w:shd w:val="clear" w:color="auto" w:fill="A8D08D" w:themeFill="accent6" w:themeFillTint="99"/>
          </w:tcPr>
          <w:p w:rsidR="009C3E70" w:rsidRPr="00531DE6" w:rsidRDefault="009C3E70" w:rsidP="001C0B89">
            <w:pPr>
              <w:jc w:val="center"/>
              <w:rPr>
                <w:rFonts w:ascii="Candara" w:hAnsi="Candara"/>
                <w:b/>
              </w:rPr>
            </w:pPr>
            <w:r w:rsidRPr="00531DE6">
              <w:rPr>
                <w:rFonts w:ascii="Candara" w:hAnsi="Candara"/>
                <w:b/>
              </w:rPr>
              <w:t>Szanse</w:t>
            </w:r>
          </w:p>
        </w:tc>
        <w:tc>
          <w:tcPr>
            <w:tcW w:w="4531" w:type="dxa"/>
            <w:shd w:val="clear" w:color="auto" w:fill="A8D08D" w:themeFill="accent6" w:themeFillTint="99"/>
          </w:tcPr>
          <w:p w:rsidR="009C3E70" w:rsidRPr="00531DE6" w:rsidRDefault="009C3E70" w:rsidP="001C0B89">
            <w:pPr>
              <w:jc w:val="center"/>
              <w:rPr>
                <w:rFonts w:ascii="Candara" w:hAnsi="Candara"/>
                <w:b/>
              </w:rPr>
            </w:pPr>
            <w:r w:rsidRPr="00531DE6">
              <w:rPr>
                <w:rFonts w:ascii="Candara" w:hAnsi="Candara"/>
                <w:b/>
              </w:rPr>
              <w:t>Zagrożenia</w:t>
            </w:r>
          </w:p>
        </w:tc>
      </w:tr>
      <w:tr w:rsidR="009C3E70" w:rsidRPr="00531DE6" w:rsidTr="009C3E70">
        <w:trPr>
          <w:trHeight w:val="850"/>
        </w:trPr>
        <w:tc>
          <w:tcPr>
            <w:tcW w:w="4531" w:type="dxa"/>
          </w:tcPr>
          <w:p w:rsidR="009C3E70" w:rsidRPr="00531DE6" w:rsidRDefault="009C3E70" w:rsidP="001C0B89">
            <w:pPr>
              <w:rPr>
                <w:rFonts w:ascii="Candara" w:hAnsi="Candara"/>
              </w:rPr>
            </w:pPr>
            <w:r w:rsidRPr="00531DE6">
              <w:rPr>
                <w:rFonts w:ascii="Candara" w:hAnsi="Candara"/>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9C3E70" w:rsidRPr="00531DE6" w:rsidRDefault="009C3E70" w:rsidP="001C0B89">
            <w:pPr>
              <w:rPr>
                <w:rFonts w:ascii="Candara" w:hAnsi="Candara"/>
              </w:rPr>
            </w:pPr>
            <w:r w:rsidRPr="00531DE6">
              <w:rPr>
                <w:rFonts w:ascii="Candara" w:hAnsi="Candara"/>
              </w:rPr>
              <w:t>Moda na ekologię, wzrost świadomości proekologicznej u mieszkańców – działania antysmogowe i ograniczające niską emisję.</w:t>
            </w:r>
          </w:p>
          <w:p w:rsidR="009C3E70" w:rsidRPr="00531DE6" w:rsidRDefault="009C3E70" w:rsidP="001C0B89">
            <w:pPr>
              <w:rPr>
                <w:rFonts w:ascii="Candara" w:hAnsi="Candara"/>
              </w:rPr>
            </w:pPr>
            <w:r w:rsidRPr="00531DE6">
              <w:rPr>
                <w:rFonts w:ascii="Candara" w:hAnsi="Candara"/>
              </w:rPr>
              <w:t xml:space="preserve">Zmiany w prawie krajobrazowym – nowe kompetencje dla samorządów lokalnych w zakresie kształtowania ładu przestrzennego i estetyki przestrzeni publicznej np. eliminacja </w:t>
            </w:r>
            <w:r w:rsidRPr="00531DE6">
              <w:rPr>
                <w:rFonts w:ascii="Candara" w:hAnsi="Candara"/>
              </w:rPr>
              <w:lastRenderedPageBreak/>
              <w:t>reklam wielkoformatowych itp.</w:t>
            </w:r>
          </w:p>
          <w:p w:rsidR="009C3E70" w:rsidRPr="00531DE6" w:rsidRDefault="009C3E70" w:rsidP="001C0B89">
            <w:pPr>
              <w:rPr>
                <w:rFonts w:ascii="Candara" w:hAnsi="Candara"/>
              </w:rPr>
            </w:pPr>
            <w:r w:rsidRPr="00531DE6">
              <w:rPr>
                <w:rFonts w:ascii="Candara" w:hAnsi="Candara"/>
              </w:rPr>
              <w:t>Plany rozbudowy infrastruktury drogowej i kolejowej poprawiającej komunikację pomiędzy Nowym Sączem a Krakowem (droga Brzesko – Nowy Sącz, linia kolejowa Podłęże – Piekiełko).</w:t>
            </w:r>
          </w:p>
          <w:p w:rsidR="009C3E70" w:rsidRPr="00531DE6" w:rsidRDefault="009C3E70" w:rsidP="001C0B89">
            <w:pPr>
              <w:rPr>
                <w:rFonts w:ascii="Candara" w:hAnsi="Candara"/>
              </w:rPr>
            </w:pPr>
            <w:r w:rsidRPr="00531DE6">
              <w:rPr>
                <w:rFonts w:ascii="Candara" w:hAnsi="Candara"/>
              </w:rPr>
              <w:t>Moda na zdrowy tryb życia, popularyzacja aktywności fizycznej np. jazda rowerem, zajęcia fitness, pływanie itp.</w:t>
            </w:r>
          </w:p>
          <w:p w:rsidR="009C3E70" w:rsidRPr="00531DE6" w:rsidRDefault="009C3E70" w:rsidP="001C0B89">
            <w:pPr>
              <w:rPr>
                <w:rFonts w:ascii="Candara" w:hAnsi="Candara"/>
              </w:rPr>
            </w:pPr>
            <w:r w:rsidRPr="00531DE6">
              <w:rPr>
                <w:rFonts w:ascii="Candara" w:hAnsi="Candara"/>
              </w:rPr>
              <w:t>Dostępność funduszy i wzrost świadomości w zakresie rewitalizacji przestrzeni (powolne odchodzenie od rewitalizacji pomijającej aspekt społeczny i gospodarczy)</w:t>
            </w:r>
          </w:p>
          <w:p w:rsidR="009C3E70" w:rsidRPr="00531DE6" w:rsidRDefault="009C3E70" w:rsidP="001C0B89">
            <w:pPr>
              <w:rPr>
                <w:rFonts w:ascii="Candara" w:hAnsi="Candara"/>
              </w:rPr>
            </w:pPr>
            <w:r w:rsidRPr="00531DE6">
              <w:rPr>
                <w:rFonts w:ascii="Candara" w:hAnsi="Candara"/>
              </w:rPr>
              <w:t>Rozwój systemu ścieżek dla rowerów</w:t>
            </w:r>
          </w:p>
          <w:p w:rsidR="009C3E70" w:rsidRPr="00531DE6" w:rsidRDefault="009C3E70" w:rsidP="001C0B89">
            <w:pPr>
              <w:rPr>
                <w:rFonts w:ascii="Candara" w:hAnsi="Candara"/>
              </w:rPr>
            </w:pPr>
            <w:r w:rsidRPr="00531DE6">
              <w:rPr>
                <w:rFonts w:ascii="Candara" w:hAnsi="Candara"/>
              </w:rPr>
              <w:t>Inteligentne systemy transportowe – integracja i koordynacja różnych form transportu publicznego;</w:t>
            </w:r>
          </w:p>
          <w:p w:rsidR="009C3E70" w:rsidRPr="00531DE6" w:rsidRDefault="009C3E70" w:rsidP="001C0B89">
            <w:pPr>
              <w:rPr>
                <w:rFonts w:ascii="Candara" w:hAnsi="Candara"/>
              </w:rPr>
            </w:pPr>
            <w:r w:rsidRPr="00531DE6">
              <w:rPr>
                <w:rFonts w:ascii="Candara" w:hAnsi="Candara"/>
              </w:rPr>
              <w:t>Moda na mieszkanie poza ścisłym centrum miast – osiedlanie się w mniejszych miejscowościach, budowa domów jednorodzinnych, chęć mieszkania bliżej przyrody;</w:t>
            </w:r>
          </w:p>
          <w:p w:rsidR="009C3E70" w:rsidRPr="00531DE6" w:rsidRDefault="009C3E70" w:rsidP="001C0B89">
            <w:pPr>
              <w:rPr>
                <w:rFonts w:ascii="Candara" w:hAnsi="Candara"/>
              </w:rPr>
            </w:pPr>
            <w:r w:rsidRPr="00531DE6">
              <w:rPr>
                <w:rFonts w:ascii="Candara" w:hAnsi="Candara"/>
              </w:rPr>
              <w:t>Wzrost aktywności różnego typu grup nacisku – organizowania się społeczeństwa wokół różnego typu kwestii istotnych z punktu widzenia małych społeczności (np. nowe inwestycje, ochrona środowiska, bezpieczeństwo)</w:t>
            </w:r>
          </w:p>
        </w:tc>
        <w:tc>
          <w:tcPr>
            <w:tcW w:w="4531" w:type="dxa"/>
          </w:tcPr>
          <w:p w:rsidR="009C3E70" w:rsidRPr="00531DE6" w:rsidRDefault="009C3E70" w:rsidP="001C0B89">
            <w:pPr>
              <w:rPr>
                <w:rFonts w:ascii="Candara" w:hAnsi="Candara"/>
              </w:rPr>
            </w:pPr>
            <w:r w:rsidRPr="00531DE6">
              <w:rPr>
                <w:rFonts w:ascii="Candara" w:hAnsi="Candara"/>
              </w:rPr>
              <w:lastRenderedPageBreak/>
              <w:t>Ubożenie części społeczeństwa i związane z tym próby oszczędności w ogrzewaniu kosztem jakości spalanych paliw – korzystanie z niskiej jakości miałów węglowych, spalanie śmieci itp.</w:t>
            </w:r>
          </w:p>
          <w:p w:rsidR="009C3E70" w:rsidRPr="00531DE6" w:rsidRDefault="009C3E70" w:rsidP="001C0B89">
            <w:pPr>
              <w:rPr>
                <w:rFonts w:ascii="Candara" w:hAnsi="Candara"/>
              </w:rPr>
            </w:pPr>
            <w:r w:rsidRPr="00531DE6">
              <w:rPr>
                <w:rFonts w:ascii="Candara" w:hAnsi="Candara"/>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9C3E70" w:rsidRPr="00531DE6" w:rsidRDefault="009C3E70" w:rsidP="001C0B89">
            <w:pPr>
              <w:rPr>
                <w:rFonts w:ascii="Candara" w:hAnsi="Candara"/>
              </w:rPr>
            </w:pPr>
            <w:r w:rsidRPr="00531DE6">
              <w:rPr>
                <w:rFonts w:ascii="Candara" w:hAnsi="Candara"/>
              </w:rPr>
              <w:t>Roszczeniowość społeczeństwa – postawa oczekiwania, że państwo/samorząd rozwiąże wszystkie problemy, bierność;</w:t>
            </w:r>
          </w:p>
          <w:p w:rsidR="009C3E70" w:rsidRPr="00531DE6" w:rsidRDefault="009C3E70" w:rsidP="001C0B89">
            <w:pPr>
              <w:rPr>
                <w:rFonts w:ascii="Candara" w:hAnsi="Candara"/>
              </w:rPr>
            </w:pPr>
            <w:r w:rsidRPr="00531DE6">
              <w:rPr>
                <w:rFonts w:ascii="Candara" w:hAnsi="Candara"/>
              </w:rPr>
              <w:t xml:space="preserve">Migracja edukacyjna i zarobkowa </w:t>
            </w:r>
            <w:r w:rsidRPr="00531DE6">
              <w:rPr>
                <w:rFonts w:ascii="Candara" w:hAnsi="Candara"/>
              </w:rPr>
              <w:lastRenderedPageBreak/>
              <w:t>mieszkańców.</w:t>
            </w:r>
          </w:p>
        </w:tc>
      </w:tr>
    </w:tbl>
    <w:p w:rsidR="009C3E70" w:rsidRPr="00531DE6" w:rsidRDefault="009C3E70" w:rsidP="006C5AF1">
      <w:pPr>
        <w:jc w:val="both"/>
        <w:rPr>
          <w:rFonts w:ascii="Candara" w:hAnsi="Candara"/>
        </w:rPr>
      </w:pPr>
    </w:p>
    <w:sectPr w:rsidR="009C3E70" w:rsidRPr="00531DE6" w:rsidSect="00500543">
      <w:headerReference w:type="default" r:id="rId12"/>
      <w:pgSz w:w="11906" w:h="16838"/>
      <w:pgMar w:top="1417" w:right="1417" w:bottom="1417" w:left="1417" w:header="708"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693" w:rsidRDefault="00523693" w:rsidP="00500543">
      <w:pPr>
        <w:spacing w:after="0" w:line="240" w:lineRule="auto"/>
      </w:pPr>
      <w:r>
        <w:separator/>
      </w:r>
    </w:p>
  </w:endnote>
  <w:endnote w:type="continuationSeparator" w:id="0">
    <w:p w:rsidR="00523693" w:rsidRDefault="00523693" w:rsidP="0050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693" w:rsidRDefault="00523693" w:rsidP="00500543">
      <w:pPr>
        <w:spacing w:after="0" w:line="240" w:lineRule="auto"/>
      </w:pPr>
      <w:r>
        <w:separator/>
      </w:r>
    </w:p>
  </w:footnote>
  <w:footnote w:type="continuationSeparator" w:id="0">
    <w:p w:rsidR="00523693" w:rsidRDefault="00523693" w:rsidP="00500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543" w:rsidRPr="0012570D" w:rsidRDefault="00523693" w:rsidP="00500543">
    <w:pPr>
      <w:spacing w:after="0"/>
      <w:jc w:val="center"/>
      <w:rPr>
        <w:rFonts w:ascii="Candara" w:eastAsiaTheme="minorEastAsia" w:hAnsi="Candara"/>
        <w:b/>
        <w:lang w:eastAsia="pl-PL"/>
      </w:rPr>
    </w:pPr>
    <w:sdt>
      <w:sdtPr>
        <w:rPr>
          <w:rFonts w:ascii="Candara" w:eastAsiaTheme="minorEastAsia" w:hAnsi="Candara"/>
          <w:b/>
          <w:lang w:eastAsia="pl-PL"/>
        </w:rPr>
        <w:id w:val="-1454938689"/>
        <w:docPartObj>
          <w:docPartGallery w:val="Page Numbers (Margins)"/>
          <w:docPartUnique/>
        </w:docPartObj>
      </w:sdtPr>
      <w:sdtEndPr/>
      <w:sdtContent>
        <w:r w:rsidR="00500543" w:rsidRPr="00500543">
          <w:rPr>
            <w:rFonts w:ascii="Candara" w:eastAsiaTheme="minorEastAsia" w:hAnsi="Candara"/>
            <w:b/>
            <w:noProof/>
            <w:lang w:eastAsia="pl-PL"/>
          </w:rPr>
          <mc:AlternateContent>
            <mc:Choice Requires="wps">
              <w:drawing>
                <wp:anchor distT="0" distB="0" distL="114300" distR="114300" simplePos="0" relativeHeight="251659264"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1788795</wp:posOffset>
                      </wp:positionV>
                    </mc:Fallback>
                  </mc:AlternateContent>
                  <wp:extent cx="819150" cy="433705"/>
                  <wp:effectExtent l="0" t="0" r="1905" b="4445"/>
                  <wp:wrapNone/>
                  <wp:docPr id="6185" name="Prostokąt 6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543" w:rsidRDefault="00500543">
                              <w:pPr>
                                <w:pBdr>
                                  <w:top w:val="single" w:sz="4" w:space="1" w:color="D8D8D8" w:themeColor="background1" w:themeShade="D8"/>
                                </w:pBdr>
                              </w:pPr>
                              <w:r>
                                <w:t xml:space="preserve">Strona | </w:t>
                              </w:r>
                              <w:r>
                                <w:fldChar w:fldCharType="begin"/>
                              </w:r>
                              <w:r>
                                <w:instrText>PAGE   \* MERGEFORMAT</w:instrText>
                              </w:r>
                              <w:r>
                                <w:fldChar w:fldCharType="separate"/>
                              </w:r>
                              <w:r w:rsidR="00D4402D">
                                <w:rPr>
                                  <w:noProof/>
                                </w:rPr>
                                <w:t>5</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Prostokąt 6185" o:spid="_x0000_s1043" style="position:absolute;left:0;text-align:left;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" o:allowincell="f" stroked="f">
                  <v:textbox style="mso-fit-shape-to-text:t" inset="0,,0">
                    <w:txbxContent>
                      <w:p w:rsidR="00500543" w:rsidRDefault="00500543">
                        <w:pPr>
                          <w:pBdr>
                            <w:top w:val="single" w:sz="4" w:space="1" w:color="D8D8D8" w:themeColor="background1" w:themeShade="D8"/>
                          </w:pBdr>
                        </w:pPr>
                        <w:r>
                          <w:t xml:space="preserve">Strona | </w:t>
                        </w:r>
                        <w:r>
                          <w:fldChar w:fldCharType="begin"/>
                        </w:r>
                        <w:r>
                          <w:instrText>PAGE   \* MERGEFORMAT</w:instrText>
                        </w:r>
                        <w:r>
                          <w:fldChar w:fldCharType="separate"/>
                        </w:r>
                        <w:r w:rsidR="00D4402D">
                          <w:rPr>
                            <w:noProof/>
                          </w:rPr>
                          <w:t>5</w:t>
                        </w:r>
                        <w:r>
                          <w:fldChar w:fldCharType="end"/>
                        </w:r>
                      </w:p>
                    </w:txbxContent>
                  </v:textbox>
                  <w10:wrap anchorx="margin" anchory="margin"/>
                </v:rect>
              </w:pict>
            </mc:Fallback>
          </mc:AlternateContent>
        </w:r>
      </w:sdtContent>
    </w:sdt>
    <w:r w:rsidR="00500543" w:rsidRPr="0012570D">
      <w:rPr>
        <w:rFonts w:ascii="Candara" w:eastAsiaTheme="minorEastAsia" w:hAnsi="Candara"/>
        <w:b/>
        <w:lang w:eastAsia="pl-PL"/>
      </w:rPr>
      <w:t>Zapis wyników prac z warsztatu strategicznego</w:t>
    </w:r>
    <w:r w:rsidR="00500543">
      <w:rPr>
        <w:rFonts w:ascii="Candara" w:eastAsiaTheme="minorEastAsia" w:hAnsi="Candara"/>
        <w:b/>
        <w:lang w:eastAsia="pl-PL"/>
      </w:rPr>
      <w:t xml:space="preserve"> </w:t>
    </w:r>
    <w:r w:rsidR="00500543" w:rsidRPr="0012570D">
      <w:rPr>
        <w:rFonts w:ascii="Candara" w:eastAsiaTheme="minorEastAsia" w:hAnsi="Candara"/>
        <w:b/>
        <w:lang w:eastAsia="pl-PL"/>
      </w:rPr>
      <w:t>w ramach prac nad</w:t>
    </w:r>
  </w:p>
  <w:p w:rsidR="00500543" w:rsidRPr="0012570D" w:rsidRDefault="00500543" w:rsidP="00500543">
    <w:pPr>
      <w:spacing w:after="0"/>
      <w:jc w:val="center"/>
      <w:rPr>
        <w:rFonts w:ascii="Candara" w:eastAsiaTheme="minorEastAsia" w:hAnsi="Candara"/>
        <w:i/>
        <w:u w:val="single"/>
        <w:lang w:eastAsia="pl-PL"/>
      </w:rPr>
    </w:pPr>
    <w:r w:rsidRPr="0012570D">
      <w:rPr>
        <w:rFonts w:ascii="Candara" w:eastAsiaTheme="minorEastAsia" w:hAnsi="Candara"/>
        <w:b/>
        <w:u w:val="single"/>
        <w:lang w:eastAsia="pl-PL"/>
      </w:rPr>
      <w:t xml:space="preserve"> „Lokalną Strategią Rozwoju dla </w:t>
    </w:r>
    <w:r w:rsidRPr="0012570D">
      <w:rPr>
        <w:rFonts w:ascii="Candara" w:eastAsiaTheme="minorEastAsia" w:hAnsi="Candara"/>
        <w:b/>
        <w:bCs/>
        <w:u w:val="single"/>
        <w:lang w:eastAsia="pl-PL"/>
      </w:rPr>
      <w:t>LGD Korona Sądecka</w:t>
    </w:r>
    <w:r w:rsidRPr="0012570D">
      <w:rPr>
        <w:rFonts w:ascii="Candara" w:eastAsiaTheme="minorEastAsia" w:hAnsi="Candara"/>
        <w:b/>
        <w:u w:val="single"/>
        <w:lang w:eastAsia="pl-PL"/>
      </w:rPr>
      <w:t>”</w:t>
    </w:r>
  </w:p>
  <w:p w:rsidR="00500543" w:rsidRDefault="005005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170B"/>
    <w:multiLevelType w:val="hybridMultilevel"/>
    <w:tmpl w:val="73B8EDBC"/>
    <w:lvl w:ilvl="0" w:tplc="C484A490">
      <w:start w:val="1"/>
      <w:numFmt w:val="bullet"/>
      <w:lvlText w:val="—"/>
      <w:lvlJc w:val="left"/>
      <w:pPr>
        <w:tabs>
          <w:tab w:val="num" w:pos="720"/>
        </w:tabs>
        <w:ind w:left="720" w:hanging="360"/>
      </w:pPr>
      <w:rPr>
        <w:rFonts w:ascii="Calibri" w:hAnsi="Calibri"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F8C1565"/>
    <w:multiLevelType w:val="hybridMultilevel"/>
    <w:tmpl w:val="E4D2ECB4"/>
    <w:lvl w:ilvl="0" w:tplc="7DBAD3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FC6326D"/>
    <w:multiLevelType w:val="hybridMultilevel"/>
    <w:tmpl w:val="73C252E0"/>
    <w:lvl w:ilvl="0" w:tplc="3DAA22D8">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25D21E94"/>
    <w:multiLevelType w:val="hybridMultilevel"/>
    <w:tmpl w:val="A29241CE"/>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EC84C42"/>
    <w:multiLevelType w:val="hybridMultilevel"/>
    <w:tmpl w:val="98D84256"/>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0A437FD"/>
    <w:multiLevelType w:val="hybridMultilevel"/>
    <w:tmpl w:val="0818029E"/>
    <w:lvl w:ilvl="0" w:tplc="E6063A1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9F1"/>
    <w:rsid w:val="00102D8C"/>
    <w:rsid w:val="0012570D"/>
    <w:rsid w:val="001C0B89"/>
    <w:rsid w:val="001D0739"/>
    <w:rsid w:val="003C4AF8"/>
    <w:rsid w:val="003D597B"/>
    <w:rsid w:val="00500543"/>
    <w:rsid w:val="00523693"/>
    <w:rsid w:val="00531DE6"/>
    <w:rsid w:val="005963FF"/>
    <w:rsid w:val="005E2BD8"/>
    <w:rsid w:val="00606204"/>
    <w:rsid w:val="00623CB3"/>
    <w:rsid w:val="006C5AF1"/>
    <w:rsid w:val="006D49F1"/>
    <w:rsid w:val="007E164C"/>
    <w:rsid w:val="00850C4D"/>
    <w:rsid w:val="00917ACA"/>
    <w:rsid w:val="009C3E70"/>
    <w:rsid w:val="00C1495C"/>
    <w:rsid w:val="00C2680A"/>
    <w:rsid w:val="00D32B40"/>
    <w:rsid w:val="00D4402D"/>
    <w:rsid w:val="00E453E4"/>
    <w:rsid w:val="00EE7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9F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autoRedefine/>
    <w:uiPriority w:val="34"/>
    <w:qFormat/>
    <w:rsid w:val="00E453E4"/>
    <w:pPr>
      <w:numPr>
        <w:numId w:val="5"/>
      </w:numPr>
      <w:suppressAutoHyphens/>
      <w:spacing w:before="120" w:after="0"/>
      <w:contextualSpacing/>
    </w:pPr>
    <w:rPr>
      <w:rFonts w:eastAsia="Times New Roman" w:cs="Times New Roman"/>
      <w:szCs w:val="24"/>
      <w:lang w:eastAsia="ar-SA"/>
    </w:rPr>
  </w:style>
  <w:style w:type="paragraph" w:styleId="Legenda">
    <w:name w:val="caption"/>
    <w:basedOn w:val="Normalny"/>
    <w:next w:val="Normalny"/>
    <w:link w:val="LegendaZnak"/>
    <w:autoRedefine/>
    <w:uiPriority w:val="35"/>
    <w:qFormat/>
    <w:rsid w:val="006D49F1"/>
    <w:pPr>
      <w:keepNext/>
      <w:shd w:val="clear" w:color="auto" w:fill="FFFFFF" w:themeFill="background1"/>
      <w:spacing w:after="360" w:line="240" w:lineRule="auto"/>
      <w:jc w:val="both"/>
    </w:pPr>
    <w:rPr>
      <w:rFonts w:ascii="Candara" w:eastAsia="Times New Roman" w:hAnsi="Candara" w:cs="Times New Roman"/>
      <w:b/>
      <w:bCs/>
      <w:lang w:eastAsia="pl-PL"/>
    </w:rPr>
  </w:style>
  <w:style w:type="character" w:customStyle="1" w:styleId="LegendaZnak">
    <w:name w:val="Legenda Znak"/>
    <w:basedOn w:val="Domylnaczcionkaakapitu"/>
    <w:link w:val="Legenda"/>
    <w:uiPriority w:val="35"/>
    <w:rsid w:val="006D49F1"/>
    <w:rPr>
      <w:rFonts w:ascii="Candara" w:eastAsia="Times New Roman" w:hAnsi="Candara" w:cs="Times New Roman"/>
      <w:b/>
      <w:bCs/>
      <w:shd w:val="clear" w:color="auto" w:fill="FFFFFF" w:themeFill="background1"/>
      <w:lang w:eastAsia="pl-PL"/>
    </w:rPr>
  </w:style>
  <w:style w:type="paragraph" w:styleId="NormalnyWeb">
    <w:name w:val="Normal (Web)"/>
    <w:basedOn w:val="Normalny"/>
    <w:uiPriority w:val="99"/>
    <w:semiHidden/>
    <w:unhideWhenUsed/>
    <w:rsid w:val="006D49F1"/>
    <w:pPr>
      <w:spacing w:before="100" w:beforeAutospacing="1" w:after="100" w:afterAutospacing="1" w:line="240" w:lineRule="auto"/>
    </w:pPr>
    <w:rPr>
      <w:rFonts w:ascii="Times New Roman" w:eastAsiaTheme="minorEastAsia" w:hAnsi="Times New Roman" w:cs="Times New Roman"/>
      <w:sz w:val="24"/>
      <w:szCs w:val="24"/>
      <w:lang w:eastAsia="pl-PL"/>
    </w:rPr>
  </w:style>
  <w:style w:type="table" w:styleId="Tabela-Siatka">
    <w:name w:val="Table Grid"/>
    <w:basedOn w:val="Standardowy"/>
    <w:uiPriority w:val="39"/>
    <w:rsid w:val="009C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50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0543"/>
  </w:style>
  <w:style w:type="paragraph" w:styleId="Stopka">
    <w:name w:val="footer"/>
    <w:basedOn w:val="Normalny"/>
    <w:link w:val="StopkaZnak"/>
    <w:uiPriority w:val="99"/>
    <w:unhideWhenUsed/>
    <w:rsid w:val="0050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543"/>
  </w:style>
  <w:style w:type="paragraph" w:styleId="Tekstdymka">
    <w:name w:val="Balloon Text"/>
    <w:basedOn w:val="Normalny"/>
    <w:link w:val="TekstdymkaZnak"/>
    <w:uiPriority w:val="99"/>
    <w:semiHidden/>
    <w:unhideWhenUsed/>
    <w:rsid w:val="00D440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4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9F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autoRedefine/>
    <w:uiPriority w:val="34"/>
    <w:qFormat/>
    <w:rsid w:val="00E453E4"/>
    <w:pPr>
      <w:numPr>
        <w:numId w:val="5"/>
      </w:numPr>
      <w:suppressAutoHyphens/>
      <w:spacing w:before="120" w:after="0"/>
      <w:contextualSpacing/>
    </w:pPr>
    <w:rPr>
      <w:rFonts w:eastAsia="Times New Roman" w:cs="Times New Roman"/>
      <w:szCs w:val="24"/>
      <w:lang w:eastAsia="ar-SA"/>
    </w:rPr>
  </w:style>
  <w:style w:type="paragraph" w:styleId="Legenda">
    <w:name w:val="caption"/>
    <w:basedOn w:val="Normalny"/>
    <w:next w:val="Normalny"/>
    <w:link w:val="LegendaZnak"/>
    <w:autoRedefine/>
    <w:uiPriority w:val="35"/>
    <w:qFormat/>
    <w:rsid w:val="006D49F1"/>
    <w:pPr>
      <w:keepNext/>
      <w:shd w:val="clear" w:color="auto" w:fill="FFFFFF" w:themeFill="background1"/>
      <w:spacing w:after="360" w:line="240" w:lineRule="auto"/>
      <w:jc w:val="both"/>
    </w:pPr>
    <w:rPr>
      <w:rFonts w:ascii="Candara" w:eastAsia="Times New Roman" w:hAnsi="Candara" w:cs="Times New Roman"/>
      <w:b/>
      <w:bCs/>
      <w:lang w:eastAsia="pl-PL"/>
    </w:rPr>
  </w:style>
  <w:style w:type="character" w:customStyle="1" w:styleId="LegendaZnak">
    <w:name w:val="Legenda Znak"/>
    <w:basedOn w:val="Domylnaczcionkaakapitu"/>
    <w:link w:val="Legenda"/>
    <w:uiPriority w:val="35"/>
    <w:rsid w:val="006D49F1"/>
    <w:rPr>
      <w:rFonts w:ascii="Candara" w:eastAsia="Times New Roman" w:hAnsi="Candara" w:cs="Times New Roman"/>
      <w:b/>
      <w:bCs/>
      <w:shd w:val="clear" w:color="auto" w:fill="FFFFFF" w:themeFill="background1"/>
      <w:lang w:eastAsia="pl-PL"/>
    </w:rPr>
  </w:style>
  <w:style w:type="paragraph" w:styleId="NormalnyWeb">
    <w:name w:val="Normal (Web)"/>
    <w:basedOn w:val="Normalny"/>
    <w:uiPriority w:val="99"/>
    <w:semiHidden/>
    <w:unhideWhenUsed/>
    <w:rsid w:val="006D49F1"/>
    <w:pPr>
      <w:spacing w:before="100" w:beforeAutospacing="1" w:after="100" w:afterAutospacing="1" w:line="240" w:lineRule="auto"/>
    </w:pPr>
    <w:rPr>
      <w:rFonts w:ascii="Times New Roman" w:eastAsiaTheme="minorEastAsia" w:hAnsi="Times New Roman" w:cs="Times New Roman"/>
      <w:sz w:val="24"/>
      <w:szCs w:val="24"/>
      <w:lang w:eastAsia="pl-PL"/>
    </w:rPr>
  </w:style>
  <w:style w:type="table" w:styleId="Tabela-Siatka">
    <w:name w:val="Table Grid"/>
    <w:basedOn w:val="Standardowy"/>
    <w:uiPriority w:val="39"/>
    <w:rsid w:val="009C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50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0543"/>
  </w:style>
  <w:style w:type="paragraph" w:styleId="Stopka">
    <w:name w:val="footer"/>
    <w:basedOn w:val="Normalny"/>
    <w:link w:val="StopkaZnak"/>
    <w:uiPriority w:val="99"/>
    <w:unhideWhenUsed/>
    <w:rsid w:val="0050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0543"/>
  </w:style>
  <w:style w:type="paragraph" w:styleId="Tekstdymka">
    <w:name w:val="Balloon Text"/>
    <w:basedOn w:val="Normalny"/>
    <w:link w:val="TekstdymkaZnak"/>
    <w:uiPriority w:val="99"/>
    <w:semiHidden/>
    <w:unhideWhenUsed/>
    <w:rsid w:val="00D440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4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216818">
      <w:bodyDiv w:val="1"/>
      <w:marLeft w:val="0"/>
      <w:marRight w:val="0"/>
      <w:marTop w:val="0"/>
      <w:marBottom w:val="0"/>
      <w:divBdr>
        <w:top w:val="none" w:sz="0" w:space="0" w:color="auto"/>
        <w:left w:val="none" w:sz="0" w:space="0" w:color="auto"/>
        <w:bottom w:val="none" w:sz="0" w:space="0" w:color="auto"/>
        <w:right w:val="none" w:sz="0" w:space="0" w:color="auto"/>
      </w:divBdr>
      <w:divsChild>
        <w:div w:id="2071998571">
          <w:marLeft w:val="547"/>
          <w:marRight w:val="0"/>
          <w:marTop w:val="120"/>
          <w:marBottom w:val="120"/>
          <w:divBdr>
            <w:top w:val="none" w:sz="0" w:space="0" w:color="auto"/>
            <w:left w:val="none" w:sz="0" w:space="0" w:color="auto"/>
            <w:bottom w:val="none" w:sz="0" w:space="0" w:color="auto"/>
            <w:right w:val="none" w:sz="0" w:space="0" w:color="auto"/>
          </w:divBdr>
        </w:div>
        <w:div w:id="1277371764">
          <w:marLeft w:val="547"/>
          <w:marRight w:val="0"/>
          <w:marTop w:val="120"/>
          <w:marBottom w:val="120"/>
          <w:divBdr>
            <w:top w:val="none" w:sz="0" w:space="0" w:color="auto"/>
            <w:left w:val="none" w:sz="0" w:space="0" w:color="auto"/>
            <w:bottom w:val="none" w:sz="0" w:space="0" w:color="auto"/>
            <w:right w:val="none" w:sz="0" w:space="0" w:color="auto"/>
          </w:divBdr>
        </w:div>
        <w:div w:id="1645697347">
          <w:marLeft w:val="547"/>
          <w:marRight w:val="0"/>
          <w:marTop w:val="120"/>
          <w:marBottom w:val="120"/>
          <w:divBdr>
            <w:top w:val="none" w:sz="0" w:space="0" w:color="auto"/>
            <w:left w:val="none" w:sz="0" w:space="0" w:color="auto"/>
            <w:bottom w:val="none" w:sz="0" w:space="0" w:color="auto"/>
            <w:right w:val="none" w:sz="0" w:space="0" w:color="auto"/>
          </w:divBdr>
        </w:div>
        <w:div w:id="1034581258">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F960-4D69-4980-8AEE-D5DB2A6E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3247</Words>
  <Characters>19482</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ZywiecKuba</dc:creator>
  <cp:lastModifiedBy>monika</cp:lastModifiedBy>
  <cp:revision>2</cp:revision>
  <dcterms:created xsi:type="dcterms:W3CDTF">2015-11-27T06:46:00Z</dcterms:created>
  <dcterms:modified xsi:type="dcterms:W3CDTF">2015-11-27T06:46:00Z</dcterms:modified>
</cp:coreProperties>
</file>