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4555F" w14:textId="77777777" w:rsidR="00FE1F40" w:rsidRDefault="00FE1F40" w:rsidP="00FE1F40">
      <w:pPr>
        <w:pStyle w:val="Nagwek1"/>
        <w:rPr>
          <w:rFonts w:ascii="Arial Narrow" w:hAnsi="Arial Narrow"/>
          <w:b/>
          <w:sz w:val="22"/>
          <w:szCs w:val="22"/>
        </w:rPr>
      </w:pPr>
      <w:bookmarkStart w:id="0" w:name="_Toc79740186"/>
    </w:p>
    <w:p w14:paraId="5B1113F0" w14:textId="4D6F2752" w:rsidR="00FE1F40" w:rsidRPr="000E60CF" w:rsidRDefault="00FE1F40" w:rsidP="00FE1F40">
      <w:pPr>
        <w:pStyle w:val="Nagwek1"/>
        <w:rPr>
          <w:rFonts w:ascii="Arial Narrow" w:hAnsi="Arial Narrow"/>
          <w:b/>
          <w:sz w:val="22"/>
          <w:szCs w:val="22"/>
        </w:rPr>
      </w:pPr>
      <w:r w:rsidRPr="000E60CF">
        <w:rPr>
          <w:rFonts w:ascii="Arial Narrow" w:hAnsi="Arial Narrow"/>
          <w:b/>
          <w:sz w:val="22"/>
          <w:szCs w:val="22"/>
        </w:rPr>
        <w:t>Analiza SWOT</w:t>
      </w:r>
      <w:bookmarkEnd w:id="0"/>
    </w:p>
    <w:p w14:paraId="3936C8B3" w14:textId="77777777" w:rsidR="00FE1F40" w:rsidRPr="000E60CF" w:rsidRDefault="00FE1F40" w:rsidP="00FE1F40">
      <w:pPr>
        <w:jc w:val="both"/>
        <w:rPr>
          <w:rFonts w:ascii="Arial Narrow" w:hAnsi="Arial Narrow"/>
        </w:rPr>
      </w:pPr>
    </w:p>
    <w:p w14:paraId="05BE4968" w14:textId="19BCA06E" w:rsidR="00FE1F40" w:rsidRDefault="00FE1F40" w:rsidP="00FE1F40">
      <w:pPr>
        <w:jc w:val="both"/>
        <w:rPr>
          <w:rFonts w:ascii="Arial Narrow" w:hAnsi="Arial Narrow"/>
        </w:rPr>
      </w:pPr>
      <w:r w:rsidRPr="000E60CF">
        <w:rPr>
          <w:rFonts w:ascii="Arial Narrow" w:hAnsi="Arial Narrow"/>
        </w:rPr>
        <w:t xml:space="preserve">Poniższa Analiza SWOT została przeprowadzona na podstawie dokonanej diagnozy danych zastanych, a także z udziałem mieszkańców (badania PAPI – m.in. pytania otwarte o główne atuty i wady miejsca zamieszkania, ocena poszczególnych aspektów polityki rozwojowej na szczeblu lokalnym – skala </w:t>
      </w:r>
      <w:proofErr w:type="spellStart"/>
      <w:r w:rsidRPr="000E60CF">
        <w:rPr>
          <w:rFonts w:ascii="Arial Narrow" w:hAnsi="Arial Narrow"/>
        </w:rPr>
        <w:t>Likerta</w:t>
      </w:r>
      <w:proofErr w:type="spellEnd"/>
      <w:r w:rsidRPr="000E60CF">
        <w:rPr>
          <w:rFonts w:ascii="Arial Narrow" w:hAnsi="Arial Narrow"/>
        </w:rPr>
        <w:t xml:space="preserve">, w tym rynku pracy, edukacji, sfery kultury, rekreacji, turystyki, ochrony środowiska itp.) oraz kluczowych pomiotów działających na terenie LGD z sektora publicznego, społecznego i gospodarczego. Wstępnie opracowana wersja analizy została poddana dodatkowym konsultacjom w trakcie warsztatów strategicznych i uzupełniona o czynniki zewnętrze: szanse i zagrożenia. Dodatkowo uczestnicy warsztatów a następnie spotkań konsultacyjnych w gminach wymiarowali i </w:t>
      </w:r>
      <w:proofErr w:type="spellStart"/>
      <w:r w:rsidRPr="000E60CF">
        <w:rPr>
          <w:rFonts w:ascii="Arial Narrow" w:hAnsi="Arial Narrow"/>
        </w:rPr>
        <w:t>operacjonalizowali</w:t>
      </w:r>
      <w:proofErr w:type="spellEnd"/>
      <w:r w:rsidRPr="000E60CF">
        <w:rPr>
          <w:rFonts w:ascii="Arial Narrow" w:hAnsi="Arial Narrow"/>
        </w:rPr>
        <w:t xml:space="preserve"> elementy analizy, by nadać im większą wartość merytoryczną pomocną przy definiowaniu wskaźników i ich wartości bazowych oraz docelowych. Większość wniosków zgłaszanych przez uczestników partycypacyjnego procesu została uwzględniona w diagnozie. Pominięto wskazania niezgodne ze statystyką publiczną lub co do których następowała rozbieżność w źródłach. Analiza została przeprowadzona w trzech ujęciach odnoszących się wprost do zdefiniowanych celów ogólnych. Całość powiązań zilustrowana została w tabelarycznej matrycy logicznej w rozdziale V.</w:t>
      </w:r>
    </w:p>
    <w:p w14:paraId="73A75BD1" w14:textId="767A506B" w:rsidR="001E567B" w:rsidRDefault="001E567B" w:rsidP="00FE1F40">
      <w:pPr>
        <w:jc w:val="both"/>
        <w:rPr>
          <w:rFonts w:ascii="Arial Narrow" w:hAnsi="Arial Narrow"/>
        </w:rPr>
      </w:pPr>
    </w:p>
    <w:p w14:paraId="4D6BFD80" w14:textId="77777777" w:rsidR="001E567B" w:rsidRDefault="001E567B" w:rsidP="00FE1F40">
      <w:pPr>
        <w:jc w:val="both"/>
        <w:rPr>
          <w:rFonts w:ascii="Arial Narrow" w:hAnsi="Arial Narrow"/>
        </w:rPr>
      </w:pPr>
    </w:p>
    <w:p w14:paraId="7012CE1B" w14:textId="77777777" w:rsidR="00FE1F40" w:rsidRPr="000E60CF" w:rsidRDefault="00FE1F40" w:rsidP="00FE1F40">
      <w:pPr>
        <w:rPr>
          <w:rFonts w:ascii="Arial Narrow" w:hAnsi="Arial Narrow"/>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5"/>
        <w:gridCol w:w="700"/>
        <w:gridCol w:w="4257"/>
        <w:gridCol w:w="654"/>
      </w:tblGrid>
      <w:tr w:rsidR="00FE1F40" w:rsidRPr="000E60CF" w14:paraId="079064EB" w14:textId="77777777" w:rsidTr="00AA45E0">
        <w:trPr>
          <w:jc w:val="center"/>
        </w:trPr>
        <w:tc>
          <w:tcPr>
            <w:tcW w:w="10456" w:type="dxa"/>
            <w:gridSpan w:val="4"/>
            <w:shd w:val="clear" w:color="auto" w:fill="525252" w:themeFill="accent3" w:themeFillShade="80"/>
          </w:tcPr>
          <w:p w14:paraId="1C79CBE9" w14:textId="77777777" w:rsidR="00FE1F40" w:rsidRPr="000E60CF" w:rsidRDefault="00FE1F40" w:rsidP="00AA45E0">
            <w:pPr>
              <w:jc w:val="center"/>
              <w:rPr>
                <w:rFonts w:ascii="Arial Narrow" w:hAnsi="Arial Narrow"/>
                <w:b/>
              </w:rPr>
            </w:pPr>
            <w:r w:rsidRPr="000E60CF">
              <w:rPr>
                <w:rFonts w:ascii="Arial Narrow" w:hAnsi="Arial Narrow"/>
                <w:b/>
                <w:color w:val="FFFFFF" w:themeColor="background1"/>
              </w:rPr>
              <w:t>Cel ogólny 1. Rozwój i promowanie przedsiębiorczości</w:t>
            </w:r>
          </w:p>
        </w:tc>
      </w:tr>
      <w:tr w:rsidR="00FE1F40" w:rsidRPr="000E60CF" w14:paraId="76021CF9" w14:textId="77777777" w:rsidTr="00AA45E0">
        <w:trPr>
          <w:cantSplit/>
          <w:trHeight w:val="1437"/>
          <w:jc w:val="center"/>
        </w:trPr>
        <w:tc>
          <w:tcPr>
            <w:tcW w:w="4845" w:type="dxa"/>
            <w:tcBorders>
              <w:bottom w:val="single" w:sz="4" w:space="0" w:color="auto"/>
            </w:tcBorders>
            <w:shd w:val="clear" w:color="auto" w:fill="D9D9D9" w:themeFill="background1" w:themeFillShade="D9"/>
            <w:vAlign w:val="center"/>
          </w:tcPr>
          <w:p w14:paraId="497C327C" w14:textId="77777777" w:rsidR="00FE1F40" w:rsidRPr="000E60CF" w:rsidRDefault="00FE1F40" w:rsidP="00AA45E0">
            <w:pPr>
              <w:jc w:val="center"/>
              <w:rPr>
                <w:rFonts w:ascii="Arial Narrow" w:hAnsi="Arial Narrow"/>
                <w:b/>
              </w:rPr>
            </w:pPr>
            <w:r w:rsidRPr="000E60CF">
              <w:rPr>
                <w:rFonts w:ascii="Arial Narrow" w:hAnsi="Arial Narrow"/>
                <w:b/>
              </w:rPr>
              <w:t>Mocne strony</w:t>
            </w:r>
          </w:p>
        </w:tc>
        <w:tc>
          <w:tcPr>
            <w:tcW w:w="700" w:type="dxa"/>
            <w:tcBorders>
              <w:bottom w:val="single" w:sz="4" w:space="0" w:color="auto"/>
            </w:tcBorders>
            <w:shd w:val="clear" w:color="auto" w:fill="D9D9D9" w:themeFill="background1" w:themeFillShade="D9"/>
            <w:textDirection w:val="btLr"/>
            <w:vAlign w:val="center"/>
          </w:tcPr>
          <w:p w14:paraId="3CA991D8" w14:textId="77777777" w:rsidR="00FE1F40" w:rsidRPr="000E60CF" w:rsidRDefault="00FE1F40" w:rsidP="00AA45E0">
            <w:pPr>
              <w:ind w:left="113" w:right="113"/>
              <w:jc w:val="center"/>
              <w:rPr>
                <w:rFonts w:ascii="Arial Narrow" w:hAnsi="Arial Narrow"/>
                <w:b/>
              </w:rPr>
            </w:pPr>
            <w:r w:rsidRPr="000E60CF">
              <w:rPr>
                <w:rFonts w:ascii="Arial Narrow" w:hAnsi="Arial Narrow"/>
                <w:b/>
              </w:rPr>
              <w:t>Odniesienie do diagnozy</w:t>
            </w:r>
          </w:p>
        </w:tc>
        <w:tc>
          <w:tcPr>
            <w:tcW w:w="4257" w:type="dxa"/>
            <w:tcBorders>
              <w:bottom w:val="single" w:sz="4" w:space="0" w:color="auto"/>
            </w:tcBorders>
            <w:shd w:val="clear" w:color="auto" w:fill="D9D9D9" w:themeFill="background1" w:themeFillShade="D9"/>
            <w:vAlign w:val="center"/>
          </w:tcPr>
          <w:p w14:paraId="504CDA4B" w14:textId="77777777" w:rsidR="00FE1F40" w:rsidRPr="000E60CF" w:rsidRDefault="00FE1F40" w:rsidP="00AA45E0">
            <w:pPr>
              <w:jc w:val="center"/>
              <w:rPr>
                <w:rFonts w:ascii="Arial Narrow" w:hAnsi="Arial Narrow"/>
                <w:b/>
              </w:rPr>
            </w:pPr>
            <w:r w:rsidRPr="000E60CF">
              <w:rPr>
                <w:rFonts w:ascii="Arial Narrow" w:hAnsi="Arial Narrow"/>
                <w:b/>
              </w:rPr>
              <w:t>Słabe strony</w:t>
            </w:r>
          </w:p>
        </w:tc>
        <w:tc>
          <w:tcPr>
            <w:tcW w:w="654" w:type="dxa"/>
            <w:tcBorders>
              <w:bottom w:val="single" w:sz="4" w:space="0" w:color="auto"/>
            </w:tcBorders>
            <w:shd w:val="clear" w:color="auto" w:fill="D9D9D9" w:themeFill="background1" w:themeFillShade="D9"/>
            <w:textDirection w:val="btLr"/>
            <w:vAlign w:val="center"/>
          </w:tcPr>
          <w:p w14:paraId="2F5F4C62" w14:textId="77777777" w:rsidR="00FE1F40" w:rsidRPr="000E60CF" w:rsidRDefault="00FE1F40" w:rsidP="00AA45E0">
            <w:pPr>
              <w:ind w:left="113" w:right="113"/>
              <w:jc w:val="center"/>
              <w:rPr>
                <w:rFonts w:ascii="Arial Narrow" w:hAnsi="Arial Narrow"/>
                <w:b/>
              </w:rPr>
            </w:pPr>
            <w:r w:rsidRPr="000E60CF">
              <w:rPr>
                <w:rFonts w:ascii="Arial Narrow" w:hAnsi="Arial Narrow"/>
                <w:b/>
              </w:rPr>
              <w:t>Odniesienie do diagnozy</w:t>
            </w:r>
          </w:p>
        </w:tc>
      </w:tr>
      <w:tr w:rsidR="00FE1F40" w:rsidRPr="000E60CF" w14:paraId="6257F97D" w14:textId="77777777" w:rsidTr="00AA45E0">
        <w:trPr>
          <w:cantSplit/>
          <w:trHeight w:val="1313"/>
          <w:jc w:val="center"/>
        </w:trPr>
        <w:tc>
          <w:tcPr>
            <w:tcW w:w="4845" w:type="dxa"/>
            <w:vMerge w:val="restart"/>
            <w:tcBorders>
              <w:right w:val="single" w:sz="4" w:space="0" w:color="auto"/>
            </w:tcBorders>
            <w:shd w:val="clear" w:color="auto" w:fill="auto"/>
          </w:tcPr>
          <w:p w14:paraId="4A1E6056" w14:textId="77777777" w:rsidR="00FE1F40" w:rsidRPr="000E60CF" w:rsidRDefault="00FE1F40" w:rsidP="00AA45E0">
            <w:pPr>
              <w:jc w:val="both"/>
              <w:rPr>
                <w:rFonts w:ascii="Arial Narrow" w:hAnsi="Arial Narrow"/>
              </w:rPr>
            </w:pPr>
            <w:r w:rsidRPr="000E60CF">
              <w:rPr>
                <w:rFonts w:ascii="Arial Narrow" w:hAnsi="Arial Narrow"/>
              </w:rPr>
              <w:t>Wysoka dynamika wzrostu podmiotów gospodarczych – wzrost o 26%, to więcej niż średnia dla kraju (10%) i województwa (13,6%) w latach 2009-2014.</w:t>
            </w:r>
          </w:p>
          <w:p w14:paraId="0A62A208" w14:textId="77777777" w:rsidR="00FE1F40" w:rsidRPr="000E60CF" w:rsidRDefault="00FE1F40" w:rsidP="00AA45E0">
            <w:pPr>
              <w:jc w:val="both"/>
              <w:rPr>
                <w:rFonts w:ascii="Arial Narrow" w:hAnsi="Arial Narrow"/>
              </w:rPr>
            </w:pPr>
            <w:r w:rsidRPr="000E60CF">
              <w:rPr>
                <w:rFonts w:ascii="Arial Narrow" w:hAnsi="Arial Narrow"/>
              </w:rPr>
              <w:t>Silnie reprezentowana branża budowlana – 2,5 razy więcej podmiotów w tej sekcji PKD w stosunku dla średniej regionalnej i krajowej (liczne firmy budowlano – remontowe świadczące usługi na terenie m.in. Nowego Sącza, Warszawy i Krakowa).</w:t>
            </w:r>
          </w:p>
          <w:p w14:paraId="04EEB7C5" w14:textId="77777777" w:rsidR="00FE1F40" w:rsidRPr="000E60CF" w:rsidRDefault="00FE1F40" w:rsidP="00AA45E0">
            <w:pPr>
              <w:jc w:val="both"/>
              <w:rPr>
                <w:rFonts w:ascii="Arial Narrow" w:hAnsi="Arial Narrow"/>
              </w:rPr>
            </w:pPr>
            <w:r w:rsidRPr="000E60CF">
              <w:rPr>
                <w:rFonts w:ascii="Arial Narrow" w:hAnsi="Arial Narrow"/>
              </w:rPr>
              <w:t>Rozwój drobnych usług związanych z napływem nowych mieszkańców.</w:t>
            </w:r>
          </w:p>
        </w:tc>
        <w:tc>
          <w:tcPr>
            <w:tcW w:w="700" w:type="dxa"/>
            <w:vMerge w:val="restart"/>
            <w:tcBorders>
              <w:left w:val="single" w:sz="4" w:space="0" w:color="auto"/>
              <w:right w:val="single" w:sz="4" w:space="0" w:color="auto"/>
            </w:tcBorders>
            <w:shd w:val="clear" w:color="auto" w:fill="auto"/>
            <w:textDirection w:val="btLr"/>
          </w:tcPr>
          <w:p w14:paraId="550CB025" w14:textId="77777777" w:rsidR="00FE1F40" w:rsidRPr="000E60CF" w:rsidRDefault="00FE1F40" w:rsidP="00AA45E0">
            <w:pPr>
              <w:ind w:left="113" w:right="113"/>
              <w:jc w:val="right"/>
              <w:rPr>
                <w:rFonts w:ascii="Arial Narrow" w:hAnsi="Arial Narrow"/>
              </w:rPr>
            </w:pPr>
            <w:r w:rsidRPr="000E60CF">
              <w:rPr>
                <w:rFonts w:ascii="Arial Narrow" w:hAnsi="Arial Narrow"/>
              </w:rPr>
              <w:t>Rozdział 3 diagnozy</w:t>
            </w:r>
          </w:p>
          <w:p w14:paraId="62CE6264" w14:textId="77777777" w:rsidR="00FE1F40" w:rsidRPr="000E60CF" w:rsidRDefault="00FE1F40" w:rsidP="00AA45E0">
            <w:pPr>
              <w:ind w:left="113" w:right="113"/>
              <w:jc w:val="right"/>
              <w:rPr>
                <w:rFonts w:ascii="Arial Narrow" w:hAnsi="Arial Narrow"/>
              </w:rPr>
            </w:pPr>
          </w:p>
        </w:tc>
        <w:tc>
          <w:tcPr>
            <w:tcW w:w="4257" w:type="dxa"/>
            <w:tcBorders>
              <w:left w:val="single" w:sz="4" w:space="0" w:color="auto"/>
              <w:right w:val="single" w:sz="4" w:space="0" w:color="auto"/>
            </w:tcBorders>
            <w:shd w:val="clear" w:color="auto" w:fill="auto"/>
          </w:tcPr>
          <w:p w14:paraId="22A18633" w14:textId="77777777" w:rsidR="00FE1F40" w:rsidRPr="000E60CF" w:rsidRDefault="00FE1F40" w:rsidP="00AA45E0">
            <w:pPr>
              <w:jc w:val="both"/>
              <w:rPr>
                <w:rFonts w:ascii="Arial Narrow" w:hAnsi="Arial Narrow"/>
                <w:b/>
              </w:rPr>
            </w:pPr>
            <w:r w:rsidRPr="000E60CF">
              <w:rPr>
                <w:rFonts w:ascii="Arial Narrow" w:hAnsi="Arial Narrow"/>
              </w:rPr>
              <w:t>Niski poziom wskaźnika przedsiębiorczości (liczba podmiotów gospodarczych na 1000 mieszkańców) - LGD Korona Sądecka (67,2), Polska (107,1) województwo małopolskie (105,9).</w:t>
            </w:r>
          </w:p>
        </w:tc>
        <w:tc>
          <w:tcPr>
            <w:tcW w:w="654" w:type="dxa"/>
            <w:tcBorders>
              <w:left w:val="single" w:sz="4" w:space="0" w:color="auto"/>
            </w:tcBorders>
            <w:shd w:val="clear" w:color="auto" w:fill="auto"/>
            <w:textDirection w:val="btLr"/>
          </w:tcPr>
          <w:p w14:paraId="29A60D46" w14:textId="77777777" w:rsidR="00FE1F40" w:rsidRPr="000E60CF" w:rsidRDefault="00FE1F40" w:rsidP="00AA45E0">
            <w:pPr>
              <w:ind w:left="113" w:right="113"/>
              <w:jc w:val="right"/>
              <w:rPr>
                <w:rFonts w:ascii="Arial Narrow" w:hAnsi="Arial Narrow"/>
                <w:b/>
              </w:rPr>
            </w:pPr>
            <w:r w:rsidRPr="000E60CF">
              <w:rPr>
                <w:rFonts w:ascii="Arial Narrow" w:hAnsi="Arial Narrow"/>
              </w:rPr>
              <w:t>Rozdział 3 diagnozy</w:t>
            </w:r>
          </w:p>
        </w:tc>
      </w:tr>
      <w:tr w:rsidR="00FE1F40" w:rsidRPr="000E60CF" w14:paraId="1AD98008" w14:textId="77777777" w:rsidTr="00AA45E0">
        <w:trPr>
          <w:cantSplit/>
          <w:trHeight w:val="1312"/>
          <w:jc w:val="center"/>
        </w:trPr>
        <w:tc>
          <w:tcPr>
            <w:tcW w:w="4845" w:type="dxa"/>
            <w:vMerge/>
            <w:tcBorders>
              <w:right w:val="single" w:sz="4" w:space="0" w:color="auto"/>
            </w:tcBorders>
            <w:shd w:val="clear" w:color="auto" w:fill="auto"/>
          </w:tcPr>
          <w:p w14:paraId="640B200D" w14:textId="77777777" w:rsidR="00FE1F40" w:rsidRPr="000E60CF" w:rsidRDefault="00FE1F40" w:rsidP="00AA45E0">
            <w:pPr>
              <w:jc w:val="both"/>
              <w:rPr>
                <w:rFonts w:ascii="Arial Narrow" w:hAnsi="Arial Narrow"/>
              </w:rPr>
            </w:pPr>
          </w:p>
        </w:tc>
        <w:tc>
          <w:tcPr>
            <w:tcW w:w="700" w:type="dxa"/>
            <w:vMerge/>
            <w:tcBorders>
              <w:left w:val="single" w:sz="4" w:space="0" w:color="auto"/>
              <w:right w:val="single" w:sz="4" w:space="0" w:color="auto"/>
            </w:tcBorders>
            <w:shd w:val="clear" w:color="auto" w:fill="auto"/>
            <w:textDirection w:val="btLr"/>
          </w:tcPr>
          <w:p w14:paraId="19D9854A" w14:textId="77777777" w:rsidR="00FE1F40" w:rsidRPr="000E60CF" w:rsidRDefault="00FE1F40" w:rsidP="00AA45E0">
            <w:pPr>
              <w:ind w:left="113" w:right="113"/>
              <w:jc w:val="right"/>
              <w:rPr>
                <w:rFonts w:ascii="Arial Narrow" w:hAnsi="Arial Narrow"/>
              </w:rPr>
            </w:pPr>
          </w:p>
        </w:tc>
        <w:tc>
          <w:tcPr>
            <w:tcW w:w="4257" w:type="dxa"/>
            <w:vMerge w:val="restart"/>
            <w:tcBorders>
              <w:left w:val="single" w:sz="4" w:space="0" w:color="auto"/>
              <w:right w:val="single" w:sz="4" w:space="0" w:color="auto"/>
            </w:tcBorders>
            <w:shd w:val="clear" w:color="auto" w:fill="auto"/>
          </w:tcPr>
          <w:p w14:paraId="48DB374E" w14:textId="77777777" w:rsidR="00FE1F40" w:rsidRPr="000E60CF" w:rsidRDefault="00FE1F40" w:rsidP="00AA45E0">
            <w:pPr>
              <w:jc w:val="both"/>
              <w:rPr>
                <w:rFonts w:ascii="Arial Narrow" w:hAnsi="Arial Narrow"/>
              </w:rPr>
            </w:pPr>
            <w:r w:rsidRPr="000E60CF">
              <w:rPr>
                <w:rFonts w:ascii="Arial Narrow" w:hAnsi="Arial Narrow"/>
              </w:rPr>
              <w:t>Wysoki wskaźnik bezrobocia - na obszarze LGD Korona Sądecka (8,6), średnia dla kraju (7,5), województwo małopolskie (6,6), powiat nowosądecki (8,3).</w:t>
            </w:r>
          </w:p>
          <w:p w14:paraId="1CE599DC" w14:textId="77777777" w:rsidR="00FE1F40" w:rsidRPr="000E60CF" w:rsidRDefault="00FE1F40" w:rsidP="00AA45E0">
            <w:pPr>
              <w:jc w:val="both"/>
              <w:rPr>
                <w:rFonts w:ascii="Arial Narrow" w:hAnsi="Arial Narrow"/>
              </w:rPr>
            </w:pPr>
            <w:r w:rsidRPr="000E60CF">
              <w:rPr>
                <w:rFonts w:ascii="Arial Narrow" w:hAnsi="Arial Narrow"/>
              </w:rPr>
              <w:t>Niekorzystna struktura bezrobotnych: ponad połowa nie ukończyła jeszcze 35 roku życia; 27,2% jest w wieku powyżej 45 lat; co trzeci bezrobotny (36,2%) z wykształceniem zasadniczym zawodowym; ponad 40% bezrobotnych jest bez pracy dłużej niż rok; ponad 61% bezrobotnych to kobiety (średnia dla Polski to 51,5%); 1/5 bezrobotnych nie ma żadnego doświadczenia na rynku pracy.</w:t>
            </w:r>
          </w:p>
        </w:tc>
        <w:tc>
          <w:tcPr>
            <w:tcW w:w="654" w:type="dxa"/>
            <w:vMerge w:val="restart"/>
            <w:tcBorders>
              <w:left w:val="single" w:sz="4" w:space="0" w:color="auto"/>
            </w:tcBorders>
            <w:shd w:val="clear" w:color="auto" w:fill="auto"/>
            <w:textDirection w:val="btLr"/>
          </w:tcPr>
          <w:p w14:paraId="2F4C3D54" w14:textId="77777777" w:rsidR="00FE1F40" w:rsidRPr="000E60CF" w:rsidRDefault="00FE1F40" w:rsidP="00AA45E0">
            <w:pPr>
              <w:ind w:left="113" w:right="113"/>
              <w:jc w:val="right"/>
              <w:rPr>
                <w:rFonts w:ascii="Arial Narrow" w:hAnsi="Arial Narrow"/>
              </w:rPr>
            </w:pPr>
            <w:r w:rsidRPr="000E60CF">
              <w:rPr>
                <w:rFonts w:ascii="Arial Narrow" w:hAnsi="Arial Narrow"/>
              </w:rPr>
              <w:t>Rozdział 4 diagnozy</w:t>
            </w:r>
          </w:p>
        </w:tc>
      </w:tr>
      <w:tr w:rsidR="00FE1F40" w:rsidRPr="000E60CF" w14:paraId="468E3DED" w14:textId="77777777" w:rsidTr="00AA45E0">
        <w:trPr>
          <w:cantSplit/>
          <w:trHeight w:val="2119"/>
          <w:jc w:val="center"/>
        </w:trPr>
        <w:tc>
          <w:tcPr>
            <w:tcW w:w="4845" w:type="dxa"/>
            <w:tcBorders>
              <w:right w:val="single" w:sz="4" w:space="0" w:color="auto"/>
            </w:tcBorders>
            <w:shd w:val="clear" w:color="auto" w:fill="auto"/>
          </w:tcPr>
          <w:p w14:paraId="25117572" w14:textId="77777777" w:rsidR="00FE1F40" w:rsidRPr="000E60CF" w:rsidRDefault="00FE1F40" w:rsidP="00AA45E0">
            <w:pPr>
              <w:jc w:val="both"/>
              <w:rPr>
                <w:rFonts w:ascii="Arial Narrow" w:hAnsi="Arial Narrow"/>
              </w:rPr>
            </w:pPr>
            <w:r w:rsidRPr="000E60CF">
              <w:rPr>
                <w:rFonts w:ascii="Arial Narrow" w:hAnsi="Arial Narrow"/>
              </w:rPr>
              <w:t>Zainteresowanie mieszkańców wsparciem w zakresie różnicowania zatrudnienia oraz zakładania działalności gospodarczej i rozwijania przedsiębiorczości.</w:t>
            </w:r>
          </w:p>
          <w:p w14:paraId="29D35548" w14:textId="77777777" w:rsidR="00FE1F40" w:rsidRPr="000E60CF" w:rsidRDefault="00FE1F40" w:rsidP="00AA45E0">
            <w:pPr>
              <w:jc w:val="both"/>
              <w:rPr>
                <w:rFonts w:ascii="Arial Narrow" w:hAnsi="Arial Narrow"/>
              </w:rPr>
            </w:pPr>
            <w:r w:rsidRPr="000E60CF">
              <w:rPr>
                <w:rFonts w:ascii="Arial Narrow" w:hAnsi="Arial Narrow"/>
              </w:rPr>
              <w:t xml:space="preserve">Obecność znanych rozpoznawalnych firm w skali regionalnej i ponadregionalnej </w:t>
            </w:r>
            <w:proofErr w:type="spellStart"/>
            <w:r w:rsidRPr="000E60CF">
              <w:rPr>
                <w:rFonts w:ascii="Arial Narrow" w:hAnsi="Arial Narrow"/>
              </w:rPr>
              <w:t>Szubryt</w:t>
            </w:r>
            <w:proofErr w:type="spellEnd"/>
            <w:r w:rsidRPr="000E60CF">
              <w:rPr>
                <w:rFonts w:ascii="Arial Narrow" w:hAnsi="Arial Narrow"/>
              </w:rPr>
              <w:t>, Wiśniowski, Bogdański, KSS Klęczany.</w:t>
            </w:r>
          </w:p>
        </w:tc>
        <w:tc>
          <w:tcPr>
            <w:tcW w:w="700" w:type="dxa"/>
            <w:tcBorders>
              <w:left w:val="single" w:sz="4" w:space="0" w:color="auto"/>
              <w:right w:val="single" w:sz="4" w:space="0" w:color="auto"/>
            </w:tcBorders>
            <w:shd w:val="clear" w:color="auto" w:fill="auto"/>
            <w:textDirection w:val="btLr"/>
          </w:tcPr>
          <w:p w14:paraId="2B7B6DD8" w14:textId="77777777" w:rsidR="00FE1F40" w:rsidRPr="000E60CF" w:rsidRDefault="00FE1F40" w:rsidP="00AA45E0">
            <w:pPr>
              <w:ind w:left="113" w:right="113"/>
              <w:jc w:val="right"/>
              <w:rPr>
                <w:rFonts w:ascii="Arial Narrow" w:hAnsi="Arial Narrow"/>
                <w:b/>
              </w:rPr>
            </w:pPr>
            <w:r w:rsidRPr="000E60CF">
              <w:rPr>
                <w:rFonts w:ascii="Arial Narrow" w:hAnsi="Arial Narrow"/>
              </w:rPr>
              <w:t>Wnioski z warsztatów strategicznych</w:t>
            </w:r>
          </w:p>
        </w:tc>
        <w:tc>
          <w:tcPr>
            <w:tcW w:w="4257" w:type="dxa"/>
            <w:vMerge/>
            <w:tcBorders>
              <w:left w:val="single" w:sz="4" w:space="0" w:color="auto"/>
              <w:right w:val="single" w:sz="4" w:space="0" w:color="auto"/>
            </w:tcBorders>
            <w:shd w:val="clear" w:color="auto" w:fill="auto"/>
          </w:tcPr>
          <w:p w14:paraId="3931C445" w14:textId="77777777" w:rsidR="00FE1F40" w:rsidRPr="000E60CF" w:rsidRDefault="00FE1F40" w:rsidP="00AA45E0">
            <w:pPr>
              <w:jc w:val="both"/>
              <w:rPr>
                <w:rFonts w:ascii="Arial Narrow" w:hAnsi="Arial Narrow"/>
              </w:rPr>
            </w:pPr>
          </w:p>
        </w:tc>
        <w:tc>
          <w:tcPr>
            <w:tcW w:w="654" w:type="dxa"/>
            <w:vMerge/>
            <w:tcBorders>
              <w:left w:val="single" w:sz="4" w:space="0" w:color="auto"/>
            </w:tcBorders>
            <w:shd w:val="clear" w:color="auto" w:fill="auto"/>
            <w:textDirection w:val="btLr"/>
          </w:tcPr>
          <w:p w14:paraId="45436BE0" w14:textId="77777777" w:rsidR="00FE1F40" w:rsidRPr="000E60CF" w:rsidRDefault="00FE1F40" w:rsidP="00AA45E0">
            <w:pPr>
              <w:ind w:left="113" w:right="113"/>
              <w:jc w:val="right"/>
              <w:rPr>
                <w:rFonts w:ascii="Arial Narrow" w:hAnsi="Arial Narrow"/>
                <w:b/>
              </w:rPr>
            </w:pPr>
          </w:p>
        </w:tc>
      </w:tr>
      <w:tr w:rsidR="00FE1F40" w:rsidRPr="000E60CF" w14:paraId="34763144" w14:textId="77777777" w:rsidTr="00AA45E0">
        <w:trPr>
          <w:cantSplit/>
          <w:trHeight w:val="1134"/>
          <w:jc w:val="center"/>
        </w:trPr>
        <w:tc>
          <w:tcPr>
            <w:tcW w:w="4845" w:type="dxa"/>
            <w:tcBorders>
              <w:right w:val="single" w:sz="4" w:space="0" w:color="auto"/>
            </w:tcBorders>
            <w:shd w:val="clear" w:color="auto" w:fill="auto"/>
          </w:tcPr>
          <w:p w14:paraId="59EA86DC" w14:textId="77777777" w:rsidR="00FE1F40" w:rsidRPr="000E60CF" w:rsidRDefault="00FE1F40" w:rsidP="00AA45E0">
            <w:pPr>
              <w:jc w:val="both"/>
              <w:rPr>
                <w:rFonts w:ascii="Arial Narrow" w:hAnsi="Arial Narrow"/>
              </w:rPr>
            </w:pPr>
            <w:r w:rsidRPr="000E60CF">
              <w:rPr>
                <w:rFonts w:ascii="Arial Narrow" w:hAnsi="Arial Narrow"/>
              </w:rPr>
              <w:t>Korzystne położenie w stosunku do miast regionu – bliskość Nowego Sącza, Krakowa.</w:t>
            </w:r>
          </w:p>
        </w:tc>
        <w:tc>
          <w:tcPr>
            <w:tcW w:w="700" w:type="dxa"/>
            <w:tcBorders>
              <w:left w:val="single" w:sz="4" w:space="0" w:color="auto"/>
              <w:right w:val="single" w:sz="4" w:space="0" w:color="auto"/>
            </w:tcBorders>
            <w:shd w:val="clear" w:color="auto" w:fill="auto"/>
            <w:textDirection w:val="btLr"/>
          </w:tcPr>
          <w:p w14:paraId="154496FE" w14:textId="77777777" w:rsidR="00FE1F40" w:rsidRPr="000E60CF" w:rsidRDefault="00FE1F40" w:rsidP="00AA45E0">
            <w:pPr>
              <w:ind w:left="113" w:right="113"/>
              <w:jc w:val="right"/>
              <w:rPr>
                <w:rFonts w:ascii="Arial Narrow" w:hAnsi="Arial Narrow"/>
                <w:b/>
              </w:rPr>
            </w:pPr>
            <w:r w:rsidRPr="000E60CF">
              <w:rPr>
                <w:rFonts w:ascii="Arial Narrow" w:hAnsi="Arial Narrow"/>
              </w:rPr>
              <w:t>Rozdział 1 diagnozy</w:t>
            </w:r>
          </w:p>
        </w:tc>
        <w:tc>
          <w:tcPr>
            <w:tcW w:w="4257" w:type="dxa"/>
            <w:tcBorders>
              <w:left w:val="single" w:sz="4" w:space="0" w:color="auto"/>
              <w:right w:val="single" w:sz="4" w:space="0" w:color="auto"/>
            </w:tcBorders>
            <w:shd w:val="clear" w:color="auto" w:fill="auto"/>
          </w:tcPr>
          <w:p w14:paraId="0361456D" w14:textId="77777777" w:rsidR="00FE1F40" w:rsidRPr="000E60CF" w:rsidRDefault="00FE1F40" w:rsidP="00AA45E0">
            <w:pPr>
              <w:jc w:val="both"/>
              <w:rPr>
                <w:rFonts w:ascii="Arial Narrow" w:hAnsi="Arial Narrow"/>
              </w:rPr>
            </w:pPr>
            <w:r w:rsidRPr="000E60CF">
              <w:rPr>
                <w:rFonts w:ascii="Arial Narrow" w:hAnsi="Arial Narrow"/>
              </w:rPr>
              <w:t xml:space="preserve">Niska ocena lokalnego rynku pracy przez mieszkańców - 6/10 respondentów uważa, że obszar LGD nie jest dobrym miejscem do pracy lub prowadzenia własnej działalności, a ponad 2/3 wskazuje obszar zatrudnienia jako najbardziej deficytowy w lokalnej polityce rozwojowej. </w:t>
            </w:r>
          </w:p>
        </w:tc>
        <w:tc>
          <w:tcPr>
            <w:tcW w:w="654" w:type="dxa"/>
            <w:tcBorders>
              <w:left w:val="single" w:sz="4" w:space="0" w:color="auto"/>
            </w:tcBorders>
            <w:shd w:val="clear" w:color="auto" w:fill="auto"/>
            <w:textDirection w:val="btLr"/>
          </w:tcPr>
          <w:p w14:paraId="45B10E16" w14:textId="77777777" w:rsidR="00FE1F40" w:rsidRPr="000E60CF" w:rsidRDefault="00FE1F40" w:rsidP="00AA45E0">
            <w:pPr>
              <w:ind w:left="113" w:right="113"/>
              <w:jc w:val="right"/>
              <w:rPr>
                <w:rFonts w:ascii="Arial Narrow" w:hAnsi="Arial Narrow"/>
              </w:rPr>
            </w:pPr>
            <w:r w:rsidRPr="000E60CF">
              <w:rPr>
                <w:rFonts w:ascii="Arial Narrow" w:hAnsi="Arial Narrow"/>
              </w:rPr>
              <w:t>Rozdział 3 diagnozy</w:t>
            </w:r>
          </w:p>
        </w:tc>
      </w:tr>
      <w:tr w:rsidR="00FE1F40" w:rsidRPr="000E60CF" w14:paraId="2234EB64" w14:textId="77777777" w:rsidTr="00AA45E0">
        <w:trPr>
          <w:cantSplit/>
          <w:trHeight w:val="1134"/>
          <w:jc w:val="center"/>
        </w:trPr>
        <w:tc>
          <w:tcPr>
            <w:tcW w:w="4845" w:type="dxa"/>
            <w:tcBorders>
              <w:right w:val="single" w:sz="4" w:space="0" w:color="auto"/>
            </w:tcBorders>
            <w:shd w:val="clear" w:color="auto" w:fill="auto"/>
          </w:tcPr>
          <w:p w14:paraId="354CDE49" w14:textId="77777777" w:rsidR="00FE1F40" w:rsidRPr="000E60CF" w:rsidRDefault="00FE1F40" w:rsidP="00AA45E0">
            <w:pPr>
              <w:jc w:val="both"/>
              <w:rPr>
                <w:rFonts w:ascii="Arial Narrow" w:hAnsi="Arial Narrow"/>
              </w:rPr>
            </w:pPr>
          </w:p>
        </w:tc>
        <w:tc>
          <w:tcPr>
            <w:tcW w:w="700" w:type="dxa"/>
            <w:tcBorders>
              <w:left w:val="single" w:sz="4" w:space="0" w:color="auto"/>
              <w:right w:val="single" w:sz="4" w:space="0" w:color="auto"/>
            </w:tcBorders>
            <w:shd w:val="clear" w:color="auto" w:fill="auto"/>
            <w:textDirection w:val="btLr"/>
          </w:tcPr>
          <w:p w14:paraId="60F87587" w14:textId="77777777" w:rsidR="00FE1F40" w:rsidRPr="000E60CF" w:rsidRDefault="00FE1F40" w:rsidP="00AA45E0">
            <w:pPr>
              <w:ind w:left="113" w:right="113"/>
              <w:jc w:val="right"/>
              <w:rPr>
                <w:rFonts w:ascii="Arial Narrow" w:hAnsi="Arial Narrow"/>
              </w:rPr>
            </w:pPr>
          </w:p>
        </w:tc>
        <w:tc>
          <w:tcPr>
            <w:tcW w:w="4257" w:type="dxa"/>
            <w:tcBorders>
              <w:left w:val="single" w:sz="4" w:space="0" w:color="auto"/>
              <w:right w:val="single" w:sz="4" w:space="0" w:color="auto"/>
            </w:tcBorders>
            <w:shd w:val="clear" w:color="auto" w:fill="auto"/>
          </w:tcPr>
          <w:p w14:paraId="36C1A22C" w14:textId="77777777" w:rsidR="00FE1F40" w:rsidRPr="000E60CF" w:rsidRDefault="00FE1F40" w:rsidP="00AA45E0">
            <w:pPr>
              <w:jc w:val="both"/>
              <w:rPr>
                <w:rFonts w:ascii="Arial Narrow" w:hAnsi="Arial Narrow"/>
              </w:rPr>
            </w:pPr>
            <w:r>
              <w:rPr>
                <w:rFonts w:ascii="Arial Narrow" w:hAnsi="Arial Narrow"/>
              </w:rPr>
              <w:t>Mały stopień ekonomizacji organizacji pozarządowych</w:t>
            </w:r>
          </w:p>
        </w:tc>
        <w:tc>
          <w:tcPr>
            <w:tcW w:w="654" w:type="dxa"/>
            <w:tcBorders>
              <w:left w:val="single" w:sz="4" w:space="0" w:color="auto"/>
            </w:tcBorders>
            <w:shd w:val="clear" w:color="auto" w:fill="auto"/>
            <w:textDirection w:val="btLr"/>
          </w:tcPr>
          <w:p w14:paraId="3D773B90" w14:textId="77777777" w:rsidR="00FE1F40" w:rsidRPr="000E60CF" w:rsidRDefault="00FE1F40" w:rsidP="00AA45E0">
            <w:pPr>
              <w:ind w:left="113" w:right="113"/>
              <w:jc w:val="right"/>
              <w:rPr>
                <w:rFonts w:ascii="Arial Narrow" w:hAnsi="Arial Narrow"/>
              </w:rPr>
            </w:pPr>
            <w:r>
              <w:rPr>
                <w:rFonts w:ascii="Arial Narrow" w:hAnsi="Arial Narrow"/>
              </w:rPr>
              <w:t>Rozdział 5 diagnozy</w:t>
            </w:r>
          </w:p>
        </w:tc>
      </w:tr>
      <w:tr w:rsidR="00FE1F40" w:rsidRPr="000E60CF" w14:paraId="4E1CFE55" w14:textId="77777777" w:rsidTr="00AA45E0">
        <w:trPr>
          <w:cantSplit/>
          <w:trHeight w:val="155"/>
          <w:jc w:val="center"/>
        </w:trPr>
        <w:tc>
          <w:tcPr>
            <w:tcW w:w="4845" w:type="dxa"/>
            <w:tcBorders>
              <w:bottom w:val="single" w:sz="4" w:space="0" w:color="auto"/>
            </w:tcBorders>
            <w:shd w:val="clear" w:color="auto" w:fill="DBDBDB" w:themeFill="accent3" w:themeFillTint="66"/>
          </w:tcPr>
          <w:p w14:paraId="63371A44" w14:textId="77777777" w:rsidR="00FE1F40" w:rsidRPr="000E60CF" w:rsidRDefault="00FE1F40" w:rsidP="00AA45E0">
            <w:pPr>
              <w:jc w:val="center"/>
              <w:rPr>
                <w:rFonts w:ascii="Arial Narrow" w:hAnsi="Arial Narrow"/>
                <w:b/>
              </w:rPr>
            </w:pPr>
            <w:r w:rsidRPr="000E60CF">
              <w:rPr>
                <w:rFonts w:ascii="Arial Narrow" w:hAnsi="Arial Narrow"/>
                <w:b/>
              </w:rPr>
              <w:t>Szanse</w:t>
            </w:r>
          </w:p>
        </w:tc>
        <w:tc>
          <w:tcPr>
            <w:tcW w:w="700" w:type="dxa"/>
            <w:tcBorders>
              <w:bottom w:val="single" w:sz="4" w:space="0" w:color="auto"/>
            </w:tcBorders>
            <w:shd w:val="clear" w:color="auto" w:fill="DBDBDB" w:themeFill="accent3" w:themeFillTint="66"/>
            <w:textDirection w:val="btLr"/>
          </w:tcPr>
          <w:p w14:paraId="53F792B8" w14:textId="77777777" w:rsidR="00FE1F40" w:rsidRPr="000E60CF" w:rsidRDefault="00FE1F40" w:rsidP="00AA45E0">
            <w:pPr>
              <w:ind w:left="113" w:right="113"/>
              <w:jc w:val="center"/>
              <w:rPr>
                <w:rFonts w:ascii="Arial Narrow" w:hAnsi="Arial Narrow"/>
                <w:b/>
              </w:rPr>
            </w:pPr>
          </w:p>
        </w:tc>
        <w:tc>
          <w:tcPr>
            <w:tcW w:w="4257" w:type="dxa"/>
            <w:tcBorders>
              <w:bottom w:val="single" w:sz="4" w:space="0" w:color="auto"/>
            </w:tcBorders>
            <w:shd w:val="clear" w:color="auto" w:fill="DBDBDB" w:themeFill="accent3" w:themeFillTint="66"/>
          </w:tcPr>
          <w:p w14:paraId="5BC48BE3" w14:textId="77777777" w:rsidR="00FE1F40" w:rsidRPr="000E60CF" w:rsidRDefault="00FE1F40" w:rsidP="00AA45E0">
            <w:pPr>
              <w:jc w:val="center"/>
              <w:rPr>
                <w:rFonts w:ascii="Arial Narrow" w:hAnsi="Arial Narrow"/>
                <w:b/>
              </w:rPr>
            </w:pPr>
            <w:r w:rsidRPr="000E60CF">
              <w:rPr>
                <w:rFonts w:ascii="Arial Narrow" w:hAnsi="Arial Narrow"/>
                <w:b/>
              </w:rPr>
              <w:t>Zagrożenia</w:t>
            </w:r>
          </w:p>
        </w:tc>
        <w:tc>
          <w:tcPr>
            <w:tcW w:w="654" w:type="dxa"/>
            <w:tcBorders>
              <w:bottom w:val="single" w:sz="4" w:space="0" w:color="auto"/>
            </w:tcBorders>
            <w:shd w:val="clear" w:color="auto" w:fill="DBDBDB" w:themeFill="accent3" w:themeFillTint="66"/>
            <w:textDirection w:val="btLr"/>
          </w:tcPr>
          <w:p w14:paraId="1E3764A6" w14:textId="77777777" w:rsidR="00FE1F40" w:rsidRPr="000E60CF" w:rsidRDefault="00FE1F40" w:rsidP="00AA45E0">
            <w:pPr>
              <w:ind w:left="113" w:right="113"/>
              <w:jc w:val="center"/>
              <w:rPr>
                <w:rFonts w:ascii="Arial Narrow" w:hAnsi="Arial Narrow"/>
                <w:b/>
              </w:rPr>
            </w:pPr>
          </w:p>
        </w:tc>
      </w:tr>
      <w:tr w:rsidR="00FE1F40" w:rsidRPr="000E60CF" w14:paraId="395A5F76" w14:textId="77777777" w:rsidTr="00AA45E0">
        <w:trPr>
          <w:cantSplit/>
          <w:trHeight w:val="2239"/>
          <w:jc w:val="center"/>
        </w:trPr>
        <w:tc>
          <w:tcPr>
            <w:tcW w:w="4845" w:type="dxa"/>
            <w:vMerge w:val="restart"/>
            <w:shd w:val="clear" w:color="auto" w:fill="auto"/>
          </w:tcPr>
          <w:p w14:paraId="4955EE67" w14:textId="77777777" w:rsidR="00FE1F40" w:rsidRPr="000E60CF" w:rsidRDefault="00FE1F40" w:rsidP="00AA45E0">
            <w:pPr>
              <w:jc w:val="both"/>
              <w:rPr>
                <w:rFonts w:ascii="Arial Narrow" w:hAnsi="Arial Narrow"/>
              </w:rPr>
            </w:pPr>
            <w:r w:rsidRPr="000E60CF">
              <w:rPr>
                <w:rFonts w:ascii="Arial Narrow" w:hAnsi="Arial Narrow"/>
              </w:rPr>
              <w:t xml:space="preserve">Dostępność funduszy na aktywizację osób bezrobotnych finansowane ze środków np. EFS i Funduszu Pracy. </w:t>
            </w:r>
          </w:p>
          <w:p w14:paraId="00A7B200" w14:textId="77777777" w:rsidR="00FE1F40" w:rsidRPr="000E60CF" w:rsidRDefault="00FE1F40" w:rsidP="00AA45E0">
            <w:pPr>
              <w:jc w:val="both"/>
              <w:rPr>
                <w:rFonts w:ascii="Arial Narrow" w:hAnsi="Arial Narrow"/>
              </w:rPr>
            </w:pPr>
            <w:r w:rsidRPr="000E60CF">
              <w:rPr>
                <w:rFonts w:ascii="Arial Narrow" w:hAnsi="Arial Narrow"/>
              </w:rPr>
              <w:t>Wsparcie finansowe dla powstawania spółdzielni socjalnych i promowanie ekonomii społecznej.</w:t>
            </w:r>
          </w:p>
          <w:p w14:paraId="3C644F8A" w14:textId="77777777" w:rsidR="00FE1F40" w:rsidRPr="000E60CF" w:rsidRDefault="00FE1F40" w:rsidP="00AA45E0">
            <w:pPr>
              <w:jc w:val="both"/>
              <w:rPr>
                <w:rFonts w:ascii="Arial Narrow" w:hAnsi="Arial Narrow"/>
              </w:rPr>
            </w:pPr>
            <w:r w:rsidRPr="000E60CF">
              <w:rPr>
                <w:rFonts w:ascii="Arial Narrow" w:hAnsi="Arial Narrow"/>
              </w:rPr>
              <w:t>Dostępność funduszy zewnętrznych (Europejski Fundusz Społeczny, Europejski Fundusz Rozwoju Regionalnego, Europejski Fundusz Rolny na rzecz Rozwoju Obszarów Wiejskich) na działania wspierające rozpoczynanie działalności gospodarczej, tworzenie nowych miejsc pracy, wprowadzanie innowacji (produktowych, procesowych, organizacyjnych), podnoszenie lub aktualizację kwalifikacji.</w:t>
            </w:r>
          </w:p>
          <w:p w14:paraId="6F4C3B0C" w14:textId="77777777" w:rsidR="00FE1F40" w:rsidRPr="000E60CF" w:rsidRDefault="00FE1F40" w:rsidP="00AA45E0">
            <w:pPr>
              <w:jc w:val="both"/>
              <w:rPr>
                <w:rFonts w:ascii="Arial Narrow" w:hAnsi="Arial Narrow"/>
              </w:rPr>
            </w:pPr>
            <w:r w:rsidRPr="000E60CF">
              <w:rPr>
                <w:rFonts w:ascii="Arial Narrow" w:hAnsi="Arial Narrow"/>
              </w:rPr>
              <w:t>Szansa na szybkie połączenie z autostradą A4 poprzez przebudowę tzw. sądeczanki na trasie Brzesko – Nowy Sącz (trasa uwzględniona w rządowym Programie Budowy Dróg Krajowych do 2023 r.), oraz budowę nowego połączenia kolejowego Kraków – Nowy Sącz.</w:t>
            </w:r>
          </w:p>
          <w:p w14:paraId="5A821F76" w14:textId="77777777" w:rsidR="00FE1F40" w:rsidRPr="000E60CF" w:rsidRDefault="00FE1F40" w:rsidP="00AA45E0">
            <w:pPr>
              <w:jc w:val="both"/>
              <w:rPr>
                <w:rFonts w:ascii="Arial Narrow" w:hAnsi="Arial Narrow"/>
              </w:rPr>
            </w:pPr>
            <w:r w:rsidRPr="000E60CF">
              <w:rPr>
                <w:rFonts w:ascii="Arial Narrow" w:hAnsi="Arial Narrow"/>
              </w:rPr>
              <w:t>Poprawa koniunktury gospodarczej (w tym na rynku budowlanym) w kraju i UE – wzrost nakładów na inwestycje – poszukiwanie nowych lokalizacji pod rozwój działalności gospodarczej.</w:t>
            </w:r>
          </w:p>
        </w:tc>
        <w:tc>
          <w:tcPr>
            <w:tcW w:w="700" w:type="dxa"/>
            <w:vMerge w:val="restart"/>
            <w:shd w:val="clear" w:color="auto" w:fill="auto"/>
            <w:textDirection w:val="btLr"/>
          </w:tcPr>
          <w:p w14:paraId="4CFDE57B" w14:textId="77777777" w:rsidR="00FE1F40" w:rsidRPr="000E60CF" w:rsidRDefault="00FE1F40" w:rsidP="00AA45E0">
            <w:pPr>
              <w:jc w:val="center"/>
              <w:rPr>
                <w:rFonts w:ascii="Arial Narrow" w:hAnsi="Arial Narrow"/>
                <w:b/>
              </w:rPr>
            </w:pPr>
            <w:r w:rsidRPr="000E60CF">
              <w:rPr>
                <w:rFonts w:ascii="Arial Narrow" w:hAnsi="Arial Narrow"/>
              </w:rPr>
              <w:t>Wnioski z warsztatów strategicznych</w:t>
            </w:r>
          </w:p>
          <w:p w14:paraId="435983F0" w14:textId="77777777" w:rsidR="00FE1F40" w:rsidRPr="000E60CF" w:rsidRDefault="00FE1F40" w:rsidP="00AA45E0">
            <w:pPr>
              <w:ind w:left="113" w:right="113"/>
              <w:jc w:val="right"/>
              <w:rPr>
                <w:rFonts w:ascii="Arial Narrow" w:hAnsi="Arial Narrow"/>
                <w:b/>
              </w:rPr>
            </w:pPr>
          </w:p>
        </w:tc>
        <w:tc>
          <w:tcPr>
            <w:tcW w:w="4257" w:type="dxa"/>
            <w:shd w:val="clear" w:color="auto" w:fill="auto"/>
          </w:tcPr>
          <w:p w14:paraId="5C276960" w14:textId="77777777" w:rsidR="00FE1F40" w:rsidRPr="000E60CF" w:rsidRDefault="00FE1F40" w:rsidP="00AA45E0">
            <w:pPr>
              <w:jc w:val="both"/>
              <w:rPr>
                <w:rFonts w:ascii="Arial Narrow" w:hAnsi="Arial Narrow"/>
              </w:rPr>
            </w:pPr>
            <w:r w:rsidRPr="000E60CF">
              <w:rPr>
                <w:rFonts w:ascii="Arial Narrow" w:hAnsi="Arial Narrow"/>
              </w:rPr>
              <w:t xml:space="preserve">Odpływ młodych ludzi do dużych ośrodków miejskich i zagranicę. </w:t>
            </w:r>
          </w:p>
          <w:p w14:paraId="6F0263E2" w14:textId="77777777" w:rsidR="00FE1F40" w:rsidRPr="000E60CF" w:rsidRDefault="00FE1F40" w:rsidP="00AA45E0">
            <w:pPr>
              <w:jc w:val="both"/>
              <w:rPr>
                <w:rFonts w:ascii="Arial Narrow" w:hAnsi="Arial Narrow"/>
              </w:rPr>
            </w:pPr>
            <w:r w:rsidRPr="000E60CF">
              <w:rPr>
                <w:rFonts w:ascii="Arial Narrow" w:hAnsi="Arial Narrow"/>
              </w:rPr>
              <w:t>Migracja zarobkowa w poszukiwaniu pracy zgodnej z posiadanymi kwalifikacjami, lub lepiej płatnej pracy.</w:t>
            </w:r>
          </w:p>
        </w:tc>
        <w:tc>
          <w:tcPr>
            <w:tcW w:w="654" w:type="dxa"/>
            <w:shd w:val="clear" w:color="auto" w:fill="auto"/>
            <w:textDirection w:val="btLr"/>
            <w:vAlign w:val="center"/>
          </w:tcPr>
          <w:p w14:paraId="49BED767" w14:textId="77777777" w:rsidR="00FE1F40" w:rsidRPr="000E60CF" w:rsidRDefault="00FE1F40" w:rsidP="00AA45E0">
            <w:pPr>
              <w:ind w:left="113" w:right="113"/>
              <w:jc w:val="right"/>
              <w:rPr>
                <w:rFonts w:ascii="Arial Narrow" w:hAnsi="Arial Narrow"/>
              </w:rPr>
            </w:pPr>
            <w:r w:rsidRPr="000E60CF">
              <w:rPr>
                <w:rFonts w:ascii="Arial Narrow" w:hAnsi="Arial Narrow"/>
              </w:rPr>
              <w:t>Rozdział 3 diagnozy</w:t>
            </w:r>
          </w:p>
        </w:tc>
      </w:tr>
      <w:tr w:rsidR="00FE1F40" w:rsidRPr="000E60CF" w14:paraId="0CF2D760" w14:textId="77777777" w:rsidTr="00AA45E0">
        <w:trPr>
          <w:cantSplit/>
          <w:trHeight w:val="372"/>
          <w:jc w:val="center"/>
        </w:trPr>
        <w:tc>
          <w:tcPr>
            <w:tcW w:w="4845" w:type="dxa"/>
            <w:vMerge/>
            <w:tcBorders>
              <w:bottom w:val="single" w:sz="4" w:space="0" w:color="auto"/>
            </w:tcBorders>
            <w:shd w:val="clear" w:color="auto" w:fill="auto"/>
          </w:tcPr>
          <w:p w14:paraId="5B0D11ED" w14:textId="77777777" w:rsidR="00FE1F40" w:rsidRPr="000E60CF" w:rsidRDefault="00FE1F40" w:rsidP="00AA45E0">
            <w:pPr>
              <w:jc w:val="both"/>
              <w:rPr>
                <w:rFonts w:ascii="Arial Narrow" w:hAnsi="Arial Narrow"/>
              </w:rPr>
            </w:pPr>
          </w:p>
        </w:tc>
        <w:tc>
          <w:tcPr>
            <w:tcW w:w="700" w:type="dxa"/>
            <w:vMerge/>
            <w:tcBorders>
              <w:bottom w:val="single" w:sz="4" w:space="0" w:color="auto"/>
            </w:tcBorders>
            <w:shd w:val="clear" w:color="auto" w:fill="auto"/>
            <w:textDirection w:val="btLr"/>
          </w:tcPr>
          <w:p w14:paraId="1F7585B2" w14:textId="77777777" w:rsidR="00FE1F40" w:rsidRPr="000E60CF" w:rsidRDefault="00FE1F40" w:rsidP="00AA45E0">
            <w:pPr>
              <w:ind w:left="113" w:right="113"/>
              <w:jc w:val="right"/>
              <w:rPr>
                <w:rFonts w:ascii="Arial Narrow" w:hAnsi="Arial Narrow"/>
              </w:rPr>
            </w:pPr>
          </w:p>
        </w:tc>
        <w:tc>
          <w:tcPr>
            <w:tcW w:w="4257" w:type="dxa"/>
            <w:vMerge w:val="restart"/>
            <w:tcBorders>
              <w:bottom w:val="single" w:sz="4" w:space="0" w:color="auto"/>
            </w:tcBorders>
            <w:shd w:val="clear" w:color="auto" w:fill="auto"/>
          </w:tcPr>
          <w:p w14:paraId="7A96B3E9" w14:textId="77777777" w:rsidR="00FE1F40" w:rsidRPr="000E60CF" w:rsidRDefault="00FE1F40" w:rsidP="00AA45E0">
            <w:pPr>
              <w:jc w:val="both"/>
              <w:rPr>
                <w:rFonts w:ascii="Arial Narrow" w:hAnsi="Arial Narrow"/>
              </w:rPr>
            </w:pPr>
            <w:r w:rsidRPr="000E60CF">
              <w:rPr>
                <w:rFonts w:ascii="Arial Narrow" w:hAnsi="Arial Narrow"/>
              </w:rPr>
              <w:t>Konkurencja o środki UE ze strony innych samorządów i LGD (system konkursowy – brak gwarancji otrzymania środków zewnętrznych).</w:t>
            </w:r>
          </w:p>
          <w:p w14:paraId="0280DEF8" w14:textId="77777777" w:rsidR="00FE1F40" w:rsidRPr="000E60CF" w:rsidRDefault="00FE1F40" w:rsidP="00AA45E0">
            <w:pPr>
              <w:jc w:val="both"/>
              <w:rPr>
                <w:rFonts w:ascii="Arial Narrow" w:hAnsi="Arial Narrow"/>
              </w:rPr>
            </w:pPr>
            <w:r w:rsidRPr="000E60CF">
              <w:rPr>
                <w:rFonts w:ascii="Arial Narrow" w:hAnsi="Arial Narrow"/>
              </w:rPr>
              <w:t xml:space="preserve">Niekontrolowana </w:t>
            </w:r>
            <w:proofErr w:type="spellStart"/>
            <w:r w:rsidRPr="000E60CF">
              <w:rPr>
                <w:rFonts w:ascii="Arial Narrow" w:hAnsi="Arial Narrow"/>
              </w:rPr>
              <w:t>suburbanizacja</w:t>
            </w:r>
            <w:proofErr w:type="spellEnd"/>
            <w:r w:rsidRPr="000E60CF">
              <w:rPr>
                <w:rFonts w:ascii="Arial Narrow" w:hAnsi="Arial Narrow"/>
              </w:rPr>
              <w:t xml:space="preserve"> – rozlewanie się miast.</w:t>
            </w:r>
          </w:p>
          <w:p w14:paraId="24F6842C" w14:textId="77777777" w:rsidR="00FE1F40" w:rsidRPr="000E60CF" w:rsidRDefault="00FE1F40" w:rsidP="00AA45E0">
            <w:pPr>
              <w:jc w:val="both"/>
              <w:rPr>
                <w:rFonts w:ascii="Arial Narrow" w:hAnsi="Arial Narrow"/>
              </w:rPr>
            </w:pPr>
            <w:r w:rsidRPr="000E60CF">
              <w:rPr>
                <w:rFonts w:ascii="Arial Narrow" w:hAnsi="Arial Narrow"/>
              </w:rPr>
              <w:t>Szara strefa – ukryte bezrobocie (także w rolnictwie)</w:t>
            </w:r>
          </w:p>
        </w:tc>
        <w:tc>
          <w:tcPr>
            <w:tcW w:w="654" w:type="dxa"/>
            <w:vMerge w:val="restart"/>
            <w:tcBorders>
              <w:bottom w:val="single" w:sz="4" w:space="0" w:color="auto"/>
            </w:tcBorders>
            <w:shd w:val="clear" w:color="auto" w:fill="auto"/>
            <w:textDirection w:val="btLr"/>
          </w:tcPr>
          <w:p w14:paraId="203948AE" w14:textId="77777777" w:rsidR="00FE1F40" w:rsidRPr="000E60CF" w:rsidRDefault="00FE1F40" w:rsidP="00AA45E0">
            <w:pPr>
              <w:ind w:left="113" w:right="113"/>
              <w:jc w:val="center"/>
              <w:rPr>
                <w:rFonts w:ascii="Arial Narrow" w:hAnsi="Arial Narrow"/>
                <w:b/>
              </w:rPr>
            </w:pPr>
            <w:r w:rsidRPr="000E60CF">
              <w:rPr>
                <w:rFonts w:ascii="Arial Narrow" w:hAnsi="Arial Narrow"/>
              </w:rPr>
              <w:t>Wnioski z warsztatów strategicznych</w:t>
            </w:r>
          </w:p>
          <w:p w14:paraId="50A60AA2" w14:textId="77777777" w:rsidR="00FE1F40" w:rsidRPr="000E60CF" w:rsidRDefault="00FE1F40" w:rsidP="00AA45E0">
            <w:pPr>
              <w:ind w:left="113" w:right="113"/>
              <w:jc w:val="center"/>
              <w:rPr>
                <w:rFonts w:ascii="Arial Narrow" w:hAnsi="Arial Narrow"/>
              </w:rPr>
            </w:pPr>
          </w:p>
        </w:tc>
      </w:tr>
      <w:tr w:rsidR="00FE1F40" w:rsidRPr="000E60CF" w14:paraId="74A2510B" w14:textId="77777777" w:rsidTr="00AA45E0">
        <w:trPr>
          <w:cantSplit/>
          <w:trHeight w:val="614"/>
          <w:jc w:val="center"/>
        </w:trPr>
        <w:tc>
          <w:tcPr>
            <w:tcW w:w="4845" w:type="dxa"/>
            <w:shd w:val="clear" w:color="auto" w:fill="auto"/>
          </w:tcPr>
          <w:p w14:paraId="5B3D2E47" w14:textId="77777777" w:rsidR="00FE1F40" w:rsidRPr="000E60CF" w:rsidRDefault="00FE1F40" w:rsidP="00AA45E0">
            <w:pPr>
              <w:jc w:val="both"/>
              <w:rPr>
                <w:rFonts w:ascii="Arial Narrow" w:hAnsi="Arial Narrow"/>
              </w:rPr>
            </w:pPr>
            <w:r w:rsidRPr="000E60CF">
              <w:rPr>
                <w:rFonts w:ascii="Arial Narrow" w:hAnsi="Arial Narrow"/>
              </w:rPr>
              <w:t>Stopniowe zwiększanie dywersyfikacji działalności rolniczej w kierunku np. agroturystyki lub gospodarstw ekologicznych.</w:t>
            </w:r>
          </w:p>
        </w:tc>
        <w:tc>
          <w:tcPr>
            <w:tcW w:w="700" w:type="dxa"/>
            <w:vMerge w:val="restart"/>
            <w:shd w:val="clear" w:color="auto" w:fill="auto"/>
            <w:textDirection w:val="btLr"/>
          </w:tcPr>
          <w:p w14:paraId="552540AB" w14:textId="77777777" w:rsidR="00FE1F40" w:rsidRPr="000E60CF" w:rsidRDefault="00FE1F40" w:rsidP="00AA45E0">
            <w:pPr>
              <w:ind w:left="113" w:right="113"/>
              <w:jc w:val="right"/>
              <w:rPr>
                <w:rFonts w:ascii="Arial Narrow" w:hAnsi="Arial Narrow"/>
              </w:rPr>
            </w:pPr>
            <w:r w:rsidRPr="000E60CF">
              <w:rPr>
                <w:rFonts w:ascii="Arial Narrow" w:hAnsi="Arial Narrow"/>
              </w:rPr>
              <w:t>Rozdział  9 diagnozy</w:t>
            </w:r>
          </w:p>
        </w:tc>
        <w:tc>
          <w:tcPr>
            <w:tcW w:w="4257" w:type="dxa"/>
            <w:vMerge/>
            <w:shd w:val="clear" w:color="auto" w:fill="auto"/>
          </w:tcPr>
          <w:p w14:paraId="112EC906" w14:textId="77777777" w:rsidR="00FE1F40" w:rsidRPr="000E60CF" w:rsidRDefault="00FE1F40" w:rsidP="00AA45E0">
            <w:pPr>
              <w:jc w:val="both"/>
              <w:rPr>
                <w:rFonts w:ascii="Arial Narrow" w:hAnsi="Arial Narrow"/>
              </w:rPr>
            </w:pPr>
          </w:p>
        </w:tc>
        <w:tc>
          <w:tcPr>
            <w:tcW w:w="654" w:type="dxa"/>
            <w:vMerge/>
            <w:shd w:val="clear" w:color="auto" w:fill="auto"/>
            <w:textDirection w:val="btLr"/>
          </w:tcPr>
          <w:p w14:paraId="4AE2AA0B" w14:textId="77777777" w:rsidR="00FE1F40" w:rsidRPr="000E60CF" w:rsidRDefault="00FE1F40" w:rsidP="00AA45E0">
            <w:pPr>
              <w:ind w:left="113" w:right="113"/>
              <w:jc w:val="right"/>
              <w:rPr>
                <w:rFonts w:ascii="Arial Narrow" w:hAnsi="Arial Narrow"/>
              </w:rPr>
            </w:pPr>
          </w:p>
        </w:tc>
      </w:tr>
      <w:tr w:rsidR="00FE1F40" w:rsidRPr="000E60CF" w14:paraId="01C36E56" w14:textId="77777777" w:rsidTr="00AA45E0">
        <w:trPr>
          <w:cantSplit/>
          <w:trHeight w:val="70"/>
          <w:jc w:val="center"/>
        </w:trPr>
        <w:tc>
          <w:tcPr>
            <w:tcW w:w="4845" w:type="dxa"/>
            <w:shd w:val="clear" w:color="auto" w:fill="auto"/>
          </w:tcPr>
          <w:p w14:paraId="120C062A" w14:textId="77777777" w:rsidR="00FE1F40" w:rsidRPr="000E60CF" w:rsidRDefault="00FE1F40" w:rsidP="00AA45E0">
            <w:pPr>
              <w:jc w:val="both"/>
              <w:rPr>
                <w:rFonts w:ascii="Arial Narrow" w:hAnsi="Arial Narrow"/>
                <w:b/>
                <w:highlight w:val="yellow"/>
              </w:rPr>
            </w:pPr>
            <w:r w:rsidRPr="000E60CF">
              <w:rPr>
                <w:rFonts w:ascii="Arial Narrow" w:hAnsi="Arial Narrow"/>
              </w:rPr>
              <w:t>Działania na rzecz wzrostu efektywności produkcji rolnej np. wspieranie powstawania spółdzielni i grup producenckich.</w:t>
            </w:r>
          </w:p>
        </w:tc>
        <w:tc>
          <w:tcPr>
            <w:tcW w:w="700" w:type="dxa"/>
            <w:vMerge/>
            <w:shd w:val="clear" w:color="auto" w:fill="auto"/>
            <w:textDirection w:val="btLr"/>
          </w:tcPr>
          <w:p w14:paraId="725533C6" w14:textId="77777777" w:rsidR="00FE1F40" w:rsidRPr="000E60CF" w:rsidRDefault="00FE1F40" w:rsidP="00AA45E0">
            <w:pPr>
              <w:ind w:left="113" w:right="113"/>
              <w:jc w:val="right"/>
              <w:rPr>
                <w:rFonts w:ascii="Arial Narrow" w:hAnsi="Arial Narrow"/>
                <w:b/>
              </w:rPr>
            </w:pPr>
          </w:p>
        </w:tc>
        <w:tc>
          <w:tcPr>
            <w:tcW w:w="4257" w:type="dxa"/>
            <w:vMerge/>
            <w:shd w:val="clear" w:color="auto" w:fill="auto"/>
          </w:tcPr>
          <w:p w14:paraId="49B02DD0" w14:textId="77777777" w:rsidR="00FE1F40" w:rsidRPr="000E60CF" w:rsidRDefault="00FE1F40" w:rsidP="00AA45E0">
            <w:pPr>
              <w:jc w:val="both"/>
              <w:rPr>
                <w:rFonts w:ascii="Arial Narrow" w:hAnsi="Arial Narrow"/>
              </w:rPr>
            </w:pPr>
          </w:p>
        </w:tc>
        <w:tc>
          <w:tcPr>
            <w:tcW w:w="654" w:type="dxa"/>
            <w:vMerge/>
            <w:shd w:val="clear" w:color="auto" w:fill="auto"/>
            <w:textDirection w:val="btLr"/>
          </w:tcPr>
          <w:p w14:paraId="06DA5A36" w14:textId="77777777" w:rsidR="00FE1F40" w:rsidRPr="000E60CF" w:rsidRDefault="00FE1F40" w:rsidP="00AA45E0">
            <w:pPr>
              <w:ind w:left="113" w:right="113"/>
              <w:jc w:val="right"/>
              <w:rPr>
                <w:rFonts w:ascii="Arial Narrow" w:hAnsi="Arial Narrow"/>
                <w:b/>
              </w:rPr>
            </w:pPr>
          </w:p>
        </w:tc>
      </w:tr>
      <w:tr w:rsidR="00FE1F40" w:rsidRPr="000E60CF" w14:paraId="3549A3D5" w14:textId="77777777" w:rsidTr="00AA45E0">
        <w:trPr>
          <w:cantSplit/>
          <w:trHeight w:val="1435"/>
          <w:jc w:val="center"/>
        </w:trPr>
        <w:tc>
          <w:tcPr>
            <w:tcW w:w="4845" w:type="dxa"/>
            <w:shd w:val="clear" w:color="auto" w:fill="auto"/>
          </w:tcPr>
          <w:p w14:paraId="416C8CDE" w14:textId="77777777" w:rsidR="00FE1F40" w:rsidRPr="000E60CF" w:rsidRDefault="00FE1F40" w:rsidP="00AA45E0">
            <w:pPr>
              <w:jc w:val="both"/>
              <w:rPr>
                <w:rFonts w:ascii="Arial Narrow" w:hAnsi="Arial Narrow"/>
              </w:rPr>
            </w:pPr>
            <w:r>
              <w:rPr>
                <w:rFonts w:ascii="Arial Narrow" w:hAnsi="Arial Narrow"/>
              </w:rPr>
              <w:t>Rozwój ekonomii społecznej</w:t>
            </w:r>
          </w:p>
        </w:tc>
        <w:tc>
          <w:tcPr>
            <w:tcW w:w="700" w:type="dxa"/>
            <w:shd w:val="clear" w:color="auto" w:fill="auto"/>
            <w:textDirection w:val="btLr"/>
          </w:tcPr>
          <w:p w14:paraId="7C650042" w14:textId="77777777" w:rsidR="00FE1F40" w:rsidRPr="000E60CF" w:rsidRDefault="00FE1F40" w:rsidP="00AA45E0">
            <w:pPr>
              <w:ind w:left="113" w:right="113"/>
              <w:jc w:val="right"/>
              <w:rPr>
                <w:rFonts w:ascii="Arial Narrow" w:hAnsi="Arial Narrow"/>
                <w:b/>
              </w:rPr>
            </w:pPr>
            <w:r>
              <w:rPr>
                <w:rFonts w:ascii="Arial Narrow" w:hAnsi="Arial Narrow"/>
                <w:b/>
              </w:rPr>
              <w:t>Rozdział  5 diagnozy</w:t>
            </w:r>
          </w:p>
        </w:tc>
        <w:tc>
          <w:tcPr>
            <w:tcW w:w="4257" w:type="dxa"/>
            <w:shd w:val="clear" w:color="auto" w:fill="auto"/>
          </w:tcPr>
          <w:p w14:paraId="49C7CC20" w14:textId="77777777" w:rsidR="00FE1F40" w:rsidRPr="000E60CF" w:rsidRDefault="00FE1F40" w:rsidP="00AA45E0">
            <w:pPr>
              <w:jc w:val="both"/>
              <w:rPr>
                <w:rFonts w:ascii="Arial Narrow" w:hAnsi="Arial Narrow"/>
              </w:rPr>
            </w:pPr>
          </w:p>
        </w:tc>
        <w:tc>
          <w:tcPr>
            <w:tcW w:w="654" w:type="dxa"/>
            <w:shd w:val="clear" w:color="auto" w:fill="auto"/>
            <w:textDirection w:val="btLr"/>
          </w:tcPr>
          <w:p w14:paraId="10EED40D" w14:textId="77777777" w:rsidR="00FE1F40" w:rsidRPr="000E60CF" w:rsidRDefault="00FE1F40" w:rsidP="00AA45E0">
            <w:pPr>
              <w:ind w:left="113" w:right="113"/>
              <w:jc w:val="right"/>
              <w:rPr>
                <w:rFonts w:ascii="Arial Narrow" w:hAnsi="Arial Narrow"/>
                <w:b/>
              </w:rPr>
            </w:pPr>
          </w:p>
        </w:tc>
      </w:tr>
      <w:tr w:rsidR="00FE1F40" w:rsidRPr="000E60CF" w14:paraId="6CFEAD35" w14:textId="77777777" w:rsidTr="00AA45E0">
        <w:trPr>
          <w:cantSplit/>
          <w:trHeight w:val="336"/>
          <w:jc w:val="center"/>
        </w:trPr>
        <w:tc>
          <w:tcPr>
            <w:tcW w:w="10456" w:type="dxa"/>
            <w:gridSpan w:val="4"/>
            <w:shd w:val="clear" w:color="auto" w:fill="525252" w:themeFill="accent3" w:themeFillShade="80"/>
          </w:tcPr>
          <w:p w14:paraId="651EE331" w14:textId="77777777" w:rsidR="00FE1F40" w:rsidRPr="000E60CF" w:rsidRDefault="00FE1F40" w:rsidP="00AA45E0">
            <w:pPr>
              <w:jc w:val="center"/>
              <w:rPr>
                <w:rFonts w:ascii="Arial Narrow" w:hAnsi="Arial Narrow"/>
                <w:b/>
              </w:rPr>
            </w:pPr>
            <w:r w:rsidRPr="000E60CF">
              <w:rPr>
                <w:rFonts w:ascii="Arial Narrow" w:hAnsi="Arial Narrow"/>
                <w:b/>
                <w:color w:val="FFFFFF" w:themeColor="background1"/>
              </w:rPr>
              <w:t>Rozwój turystyki, kultury i rekreacji na obszarze LGD</w:t>
            </w:r>
          </w:p>
        </w:tc>
      </w:tr>
      <w:tr w:rsidR="00FE1F40" w:rsidRPr="000E60CF" w14:paraId="51D0928A" w14:textId="77777777" w:rsidTr="00AA45E0">
        <w:trPr>
          <w:cantSplit/>
          <w:trHeight w:val="285"/>
          <w:jc w:val="center"/>
        </w:trPr>
        <w:tc>
          <w:tcPr>
            <w:tcW w:w="4845" w:type="dxa"/>
            <w:tcBorders>
              <w:bottom w:val="single" w:sz="4" w:space="0" w:color="auto"/>
            </w:tcBorders>
            <w:shd w:val="clear" w:color="auto" w:fill="D0CECE" w:themeFill="background2" w:themeFillShade="E6"/>
          </w:tcPr>
          <w:p w14:paraId="0147C55E" w14:textId="77777777" w:rsidR="00FE1F40" w:rsidRPr="000E60CF" w:rsidRDefault="00FE1F40" w:rsidP="00AA45E0">
            <w:pPr>
              <w:jc w:val="center"/>
              <w:rPr>
                <w:rFonts w:ascii="Arial Narrow" w:hAnsi="Arial Narrow"/>
                <w:b/>
              </w:rPr>
            </w:pPr>
            <w:r w:rsidRPr="000E60CF">
              <w:rPr>
                <w:rFonts w:ascii="Arial Narrow" w:hAnsi="Arial Narrow"/>
                <w:b/>
              </w:rPr>
              <w:t>Mocne strony</w:t>
            </w:r>
          </w:p>
        </w:tc>
        <w:tc>
          <w:tcPr>
            <w:tcW w:w="700" w:type="dxa"/>
            <w:tcBorders>
              <w:bottom w:val="single" w:sz="4" w:space="0" w:color="auto"/>
            </w:tcBorders>
            <w:shd w:val="clear" w:color="auto" w:fill="D0CECE" w:themeFill="background2" w:themeFillShade="E6"/>
            <w:textDirection w:val="btLr"/>
          </w:tcPr>
          <w:p w14:paraId="396B450C" w14:textId="77777777" w:rsidR="00FE1F40" w:rsidRPr="000E60CF" w:rsidRDefault="00FE1F40" w:rsidP="00AA45E0">
            <w:pPr>
              <w:ind w:left="113" w:right="113"/>
              <w:jc w:val="center"/>
              <w:rPr>
                <w:rFonts w:ascii="Arial Narrow" w:hAnsi="Arial Narrow"/>
                <w:b/>
              </w:rPr>
            </w:pPr>
          </w:p>
        </w:tc>
        <w:tc>
          <w:tcPr>
            <w:tcW w:w="4257" w:type="dxa"/>
            <w:tcBorders>
              <w:bottom w:val="single" w:sz="4" w:space="0" w:color="auto"/>
            </w:tcBorders>
            <w:shd w:val="clear" w:color="auto" w:fill="D0CECE" w:themeFill="background2" w:themeFillShade="E6"/>
          </w:tcPr>
          <w:p w14:paraId="6344A30B" w14:textId="77777777" w:rsidR="00FE1F40" w:rsidRPr="000E60CF" w:rsidRDefault="00FE1F40" w:rsidP="00AA45E0">
            <w:pPr>
              <w:jc w:val="center"/>
              <w:rPr>
                <w:rFonts w:ascii="Arial Narrow" w:hAnsi="Arial Narrow"/>
                <w:b/>
              </w:rPr>
            </w:pPr>
            <w:r w:rsidRPr="000E60CF">
              <w:rPr>
                <w:rFonts w:ascii="Arial Narrow" w:hAnsi="Arial Narrow"/>
                <w:b/>
              </w:rPr>
              <w:t>Słabe strony</w:t>
            </w:r>
          </w:p>
        </w:tc>
        <w:tc>
          <w:tcPr>
            <w:tcW w:w="654" w:type="dxa"/>
            <w:tcBorders>
              <w:bottom w:val="single" w:sz="4" w:space="0" w:color="auto"/>
            </w:tcBorders>
            <w:shd w:val="clear" w:color="auto" w:fill="D0CECE" w:themeFill="background2" w:themeFillShade="E6"/>
            <w:textDirection w:val="btLr"/>
          </w:tcPr>
          <w:p w14:paraId="5B2FBF73" w14:textId="77777777" w:rsidR="00FE1F40" w:rsidRPr="000E60CF" w:rsidRDefault="00FE1F40" w:rsidP="00AA45E0">
            <w:pPr>
              <w:ind w:left="113" w:right="113"/>
              <w:jc w:val="right"/>
              <w:rPr>
                <w:rFonts w:ascii="Arial Narrow" w:hAnsi="Arial Narrow"/>
                <w:b/>
              </w:rPr>
            </w:pPr>
          </w:p>
        </w:tc>
      </w:tr>
      <w:tr w:rsidR="00FE1F40" w:rsidRPr="000E60CF" w14:paraId="466885FD" w14:textId="77777777" w:rsidTr="00AA45E0">
        <w:trPr>
          <w:cantSplit/>
          <w:trHeight w:val="1800"/>
          <w:jc w:val="center"/>
        </w:trPr>
        <w:tc>
          <w:tcPr>
            <w:tcW w:w="4845" w:type="dxa"/>
            <w:vMerge w:val="restart"/>
            <w:shd w:val="clear" w:color="auto" w:fill="auto"/>
          </w:tcPr>
          <w:p w14:paraId="4992AA53" w14:textId="77777777" w:rsidR="00FE1F40" w:rsidRPr="000E60CF" w:rsidRDefault="00FE1F40" w:rsidP="00AA45E0">
            <w:pPr>
              <w:jc w:val="both"/>
              <w:rPr>
                <w:rFonts w:ascii="Arial Narrow" w:hAnsi="Arial Narrow"/>
              </w:rPr>
            </w:pPr>
            <w:r w:rsidRPr="000E60CF">
              <w:rPr>
                <w:rFonts w:ascii="Arial Narrow" w:hAnsi="Arial Narrow"/>
              </w:rPr>
              <w:t xml:space="preserve">Wysoka dostępność domów kultury dla mieszkańców (liczba mieszkańców na jeden dom kultury: 3588 osób; średnia dla Polski: 9574 osoby). </w:t>
            </w:r>
          </w:p>
          <w:p w14:paraId="1A9D051A" w14:textId="77777777" w:rsidR="00FE1F40" w:rsidRPr="000E60CF" w:rsidRDefault="00FE1F40" w:rsidP="00AA45E0">
            <w:pPr>
              <w:jc w:val="both"/>
              <w:rPr>
                <w:rFonts w:ascii="Arial Narrow" w:hAnsi="Arial Narrow"/>
              </w:rPr>
            </w:pPr>
            <w:r w:rsidRPr="000E60CF">
              <w:rPr>
                <w:rFonts w:ascii="Arial Narrow" w:hAnsi="Arial Narrow"/>
              </w:rPr>
              <w:t>3 Gminne Ośrodki Kultury (Kamionka Wielka, Klęczany, Grybów) oraz Miejski Dom Kultury w Grybowie posiadające łącznie 19 filii (w tym świetlice wiejskie oraz pracownia plastyczna).</w:t>
            </w:r>
          </w:p>
          <w:p w14:paraId="14D96CD9" w14:textId="77777777" w:rsidR="00FE1F40" w:rsidRPr="000E60CF" w:rsidRDefault="00FE1F40" w:rsidP="00AA45E0">
            <w:pPr>
              <w:jc w:val="both"/>
              <w:rPr>
                <w:rFonts w:ascii="Arial Narrow" w:hAnsi="Arial Narrow"/>
              </w:rPr>
            </w:pPr>
            <w:r w:rsidRPr="000E60CF">
              <w:rPr>
                <w:rFonts w:ascii="Arial Narrow" w:hAnsi="Arial Narrow"/>
              </w:rPr>
              <w:t xml:space="preserve">Wysoki poziom aktywności kulturalnej mieszkańców: amatorski teatr młodzieżowy, zespół teatralno-obrzędowy, koła zainteresowań, grupy artystyczne, 6 zespołów amatorskich, wydawany jest także kwartalnik społeczno-kulturalny „Gminne Wieści” oraz </w:t>
            </w:r>
            <w:r w:rsidRPr="000E60CF">
              <w:rPr>
                <w:rFonts w:ascii="Arial Narrow" w:hAnsi="Arial Narrow"/>
                <w:color w:val="000000" w:themeColor="text1"/>
              </w:rPr>
              <w:t>„Kurier Chełmiecki, „Kurier Grybowski</w:t>
            </w:r>
            <w:r w:rsidRPr="000E60CF">
              <w:rPr>
                <w:rFonts w:ascii="Arial Narrow" w:hAnsi="Arial Narrow"/>
                <w:i/>
                <w:color w:val="000000" w:themeColor="text1"/>
              </w:rPr>
              <w:t>”, „</w:t>
            </w:r>
            <w:r w:rsidRPr="000E60CF">
              <w:rPr>
                <w:rFonts w:ascii="Arial Narrow" w:hAnsi="Arial Narrow"/>
                <w:color w:val="000000" w:themeColor="text1"/>
              </w:rPr>
              <w:t>Głos Małopolski”, „Serce Innym”.</w:t>
            </w:r>
          </w:p>
        </w:tc>
        <w:tc>
          <w:tcPr>
            <w:tcW w:w="700" w:type="dxa"/>
            <w:vMerge w:val="restart"/>
            <w:shd w:val="clear" w:color="auto" w:fill="auto"/>
            <w:textDirection w:val="btLr"/>
          </w:tcPr>
          <w:p w14:paraId="74316F5C" w14:textId="77777777" w:rsidR="00FE1F40" w:rsidRPr="000E60CF" w:rsidRDefault="00FE1F40" w:rsidP="00AA45E0">
            <w:pPr>
              <w:ind w:left="113" w:right="113"/>
              <w:jc w:val="right"/>
              <w:rPr>
                <w:rFonts w:ascii="Arial Narrow" w:hAnsi="Arial Narrow"/>
              </w:rPr>
            </w:pPr>
            <w:r w:rsidRPr="000E60CF">
              <w:rPr>
                <w:rFonts w:ascii="Arial Narrow" w:hAnsi="Arial Narrow"/>
              </w:rPr>
              <w:t>Rozdział 5 diagnozy</w:t>
            </w:r>
          </w:p>
        </w:tc>
        <w:tc>
          <w:tcPr>
            <w:tcW w:w="4257" w:type="dxa"/>
            <w:shd w:val="clear" w:color="auto" w:fill="auto"/>
          </w:tcPr>
          <w:p w14:paraId="278A14E9" w14:textId="77777777" w:rsidR="00FE1F40" w:rsidRPr="000E60CF" w:rsidRDefault="00FE1F40" w:rsidP="00AA45E0">
            <w:pPr>
              <w:jc w:val="both"/>
              <w:rPr>
                <w:rFonts w:ascii="Arial Narrow" w:hAnsi="Arial Narrow"/>
              </w:rPr>
            </w:pPr>
            <w:r w:rsidRPr="000E60CF">
              <w:rPr>
                <w:rFonts w:ascii="Arial Narrow" w:hAnsi="Arial Narrow"/>
              </w:rPr>
              <w:t>Niewielka liczba (80) podmiotów gospodarczych w sekcji I – Działalność związana z zakwaterowaniem i usługami gastronomicznymi</w:t>
            </w:r>
            <w:r w:rsidRPr="000E60CF">
              <w:rPr>
                <w:rFonts w:ascii="Arial Narrow" w:hAnsi="Arial Narrow"/>
                <w:b/>
              </w:rPr>
              <w:t xml:space="preserve"> </w:t>
            </w:r>
            <w:r w:rsidRPr="000E60CF">
              <w:rPr>
                <w:rFonts w:ascii="Arial Narrow" w:hAnsi="Arial Narrow"/>
              </w:rPr>
              <w:t xml:space="preserve">(1,7% wszystkich zarejestrowanych podmiotów gospodarczych w sekcjach PKD). </w:t>
            </w:r>
          </w:p>
          <w:p w14:paraId="7750E51D" w14:textId="77777777" w:rsidR="00FE1F40" w:rsidRPr="000E60CF" w:rsidRDefault="00FE1F40" w:rsidP="00AA45E0">
            <w:pPr>
              <w:jc w:val="both"/>
              <w:rPr>
                <w:rFonts w:ascii="Arial Narrow" w:hAnsi="Arial Narrow"/>
              </w:rPr>
            </w:pPr>
            <w:r w:rsidRPr="000E60CF">
              <w:rPr>
                <w:rFonts w:ascii="Arial Narrow" w:hAnsi="Arial Narrow"/>
              </w:rPr>
              <w:t>Stosunkowo niewielka liczba miejsc noclegowych (430 miejsc noclegowych w 22 miejscach).</w:t>
            </w:r>
          </w:p>
        </w:tc>
        <w:tc>
          <w:tcPr>
            <w:tcW w:w="654" w:type="dxa"/>
            <w:shd w:val="clear" w:color="auto" w:fill="auto"/>
            <w:textDirection w:val="btLr"/>
          </w:tcPr>
          <w:p w14:paraId="75728BC2" w14:textId="77777777" w:rsidR="00FE1F40" w:rsidRPr="000E60CF" w:rsidRDefault="00FE1F40" w:rsidP="00AA45E0">
            <w:pPr>
              <w:ind w:left="113" w:right="113"/>
              <w:jc w:val="right"/>
              <w:rPr>
                <w:rFonts w:ascii="Arial Narrow" w:hAnsi="Arial Narrow"/>
                <w:b/>
              </w:rPr>
            </w:pPr>
            <w:r w:rsidRPr="000E60CF">
              <w:rPr>
                <w:rFonts w:ascii="Arial Narrow" w:hAnsi="Arial Narrow"/>
              </w:rPr>
              <w:t>Rozdział 8 diagnozy</w:t>
            </w:r>
          </w:p>
        </w:tc>
      </w:tr>
      <w:tr w:rsidR="00FE1F40" w:rsidRPr="000E60CF" w14:paraId="218DCD0D" w14:textId="77777777" w:rsidTr="00AA45E0">
        <w:trPr>
          <w:cantSplit/>
          <w:trHeight w:val="1251"/>
          <w:jc w:val="center"/>
        </w:trPr>
        <w:tc>
          <w:tcPr>
            <w:tcW w:w="4845" w:type="dxa"/>
            <w:vMerge/>
            <w:shd w:val="clear" w:color="auto" w:fill="auto"/>
          </w:tcPr>
          <w:p w14:paraId="32E92622" w14:textId="77777777" w:rsidR="00FE1F40" w:rsidRPr="000E60CF" w:rsidRDefault="00FE1F40" w:rsidP="00AA45E0">
            <w:pPr>
              <w:jc w:val="both"/>
              <w:rPr>
                <w:rFonts w:ascii="Arial Narrow" w:hAnsi="Arial Narrow"/>
              </w:rPr>
            </w:pPr>
          </w:p>
        </w:tc>
        <w:tc>
          <w:tcPr>
            <w:tcW w:w="700" w:type="dxa"/>
            <w:vMerge/>
            <w:shd w:val="clear" w:color="auto" w:fill="auto"/>
            <w:textDirection w:val="btLr"/>
          </w:tcPr>
          <w:p w14:paraId="3568BD6B" w14:textId="77777777" w:rsidR="00FE1F40" w:rsidRPr="000E60CF" w:rsidRDefault="00FE1F40" w:rsidP="00AA45E0">
            <w:pPr>
              <w:ind w:left="113" w:right="113"/>
              <w:jc w:val="right"/>
              <w:rPr>
                <w:rFonts w:ascii="Arial Narrow" w:hAnsi="Arial Narrow"/>
              </w:rPr>
            </w:pPr>
          </w:p>
        </w:tc>
        <w:tc>
          <w:tcPr>
            <w:tcW w:w="4257" w:type="dxa"/>
            <w:shd w:val="clear" w:color="auto" w:fill="auto"/>
          </w:tcPr>
          <w:p w14:paraId="0E378E43" w14:textId="77777777" w:rsidR="00FE1F40" w:rsidRPr="000E60CF" w:rsidRDefault="00FE1F40" w:rsidP="00AA45E0">
            <w:pPr>
              <w:jc w:val="both"/>
              <w:rPr>
                <w:rFonts w:ascii="Arial Narrow" w:hAnsi="Arial Narrow"/>
                <w:b/>
              </w:rPr>
            </w:pPr>
            <w:r w:rsidRPr="000E60CF">
              <w:rPr>
                <w:rFonts w:ascii="Arial Narrow" w:hAnsi="Arial Narrow"/>
              </w:rPr>
              <w:t>Mało urozmaicona oferta wydarzeń kulturalnych,</w:t>
            </w:r>
            <w:r w:rsidRPr="000E60CF">
              <w:rPr>
                <w:rFonts w:ascii="Arial Narrow" w:hAnsi="Arial Narrow"/>
                <w:b/>
              </w:rPr>
              <w:t xml:space="preserve"> </w:t>
            </w:r>
            <w:r w:rsidRPr="000E60CF">
              <w:rPr>
                <w:rFonts w:ascii="Arial Narrow" w:hAnsi="Arial Narrow"/>
              </w:rPr>
              <w:t xml:space="preserve">organizowanie wydarzeń głównie o tematyce ludowej, nawiązującej do tradycji Sądecczyzny. </w:t>
            </w:r>
          </w:p>
          <w:p w14:paraId="04595265" w14:textId="77777777" w:rsidR="00FE1F40" w:rsidRPr="000E60CF" w:rsidRDefault="00FE1F40" w:rsidP="00AA45E0">
            <w:pPr>
              <w:jc w:val="both"/>
              <w:rPr>
                <w:rFonts w:ascii="Arial Narrow" w:hAnsi="Arial Narrow"/>
              </w:rPr>
            </w:pPr>
            <w:r w:rsidRPr="000E60CF">
              <w:rPr>
                <w:rFonts w:ascii="Arial Narrow" w:hAnsi="Arial Narrow"/>
              </w:rPr>
              <w:t>45% mieszkańców obszaru LGD niezadowolonych z rozwoju oferty turystycznej na ich terenie.</w:t>
            </w:r>
          </w:p>
        </w:tc>
        <w:tc>
          <w:tcPr>
            <w:tcW w:w="654" w:type="dxa"/>
            <w:shd w:val="clear" w:color="auto" w:fill="auto"/>
            <w:textDirection w:val="btLr"/>
          </w:tcPr>
          <w:p w14:paraId="71BAAD0D" w14:textId="77777777" w:rsidR="00FE1F40" w:rsidRPr="000E60CF" w:rsidRDefault="00FE1F40" w:rsidP="00AA45E0">
            <w:pPr>
              <w:ind w:left="113" w:right="113"/>
              <w:jc w:val="right"/>
              <w:rPr>
                <w:rFonts w:ascii="Arial Narrow" w:hAnsi="Arial Narrow"/>
              </w:rPr>
            </w:pPr>
            <w:r w:rsidRPr="000E60CF">
              <w:rPr>
                <w:rFonts w:ascii="Arial Narrow" w:hAnsi="Arial Narrow"/>
              </w:rPr>
              <w:t xml:space="preserve">Rozdział 2, 7 </w:t>
            </w:r>
            <w:proofErr w:type="spellStart"/>
            <w:r w:rsidRPr="000E60CF">
              <w:rPr>
                <w:rFonts w:ascii="Arial Narrow" w:hAnsi="Arial Narrow"/>
              </w:rPr>
              <w:t>diag</w:t>
            </w:r>
            <w:proofErr w:type="spellEnd"/>
            <w:r w:rsidRPr="000E60CF">
              <w:rPr>
                <w:rFonts w:ascii="Arial Narrow" w:hAnsi="Arial Narrow"/>
              </w:rPr>
              <w:t>; wnioski z badań</w:t>
            </w:r>
          </w:p>
        </w:tc>
      </w:tr>
      <w:tr w:rsidR="00FE1F40" w:rsidRPr="000E60CF" w14:paraId="7FD0CA7A" w14:textId="77777777" w:rsidTr="00AA45E0">
        <w:trPr>
          <w:cantSplit/>
          <w:trHeight w:val="1251"/>
          <w:jc w:val="center"/>
        </w:trPr>
        <w:tc>
          <w:tcPr>
            <w:tcW w:w="4845" w:type="dxa"/>
            <w:shd w:val="clear" w:color="auto" w:fill="auto"/>
          </w:tcPr>
          <w:p w14:paraId="580032FA" w14:textId="77777777" w:rsidR="00FE1F40" w:rsidRPr="000E60CF" w:rsidRDefault="00FE1F40" w:rsidP="00AA45E0">
            <w:pPr>
              <w:jc w:val="both"/>
              <w:rPr>
                <w:rFonts w:ascii="Arial Narrow" w:hAnsi="Arial Narrow"/>
              </w:rPr>
            </w:pPr>
            <w:r w:rsidRPr="000E60CF">
              <w:rPr>
                <w:rFonts w:ascii="Arial Narrow" w:hAnsi="Arial Narrow"/>
              </w:rPr>
              <w:lastRenderedPageBreak/>
              <w:t xml:space="preserve">22 stowarzyszenia zajmujące się promocją i upowszechnianiem kultury fizycznej, sportu i rekreacji oraz inicjowaniem i wspieraniem działań w sferze kultury i nauki, a także promowaniem regionu m.in. poprzez promowanie dorobku kulturalnego oraz podejmowaniem działań z zakresu turystyki i wypoczynku. </w:t>
            </w:r>
          </w:p>
          <w:p w14:paraId="1AB0970F" w14:textId="77777777" w:rsidR="00FE1F40" w:rsidRPr="000E60CF" w:rsidRDefault="00FE1F40" w:rsidP="00AA45E0">
            <w:pPr>
              <w:jc w:val="both"/>
              <w:rPr>
                <w:rFonts w:ascii="Arial Narrow" w:hAnsi="Arial Narrow"/>
              </w:rPr>
            </w:pPr>
            <w:r w:rsidRPr="000E60CF">
              <w:rPr>
                <w:rFonts w:ascii="Arial Narrow" w:hAnsi="Arial Narrow"/>
              </w:rPr>
              <w:t xml:space="preserve">Bardzo duże zaangażowanie mieszkańców w działalność zespołów artystycznych oraz klubów (kół) zainteresowań - liczba członków zespołów artystycznych na 1000 mieszkańców wyniosła 26 (Polska: 7, województwo małopolskie: 9, powiat nowosądecki: 22), liczba członków kół zainteresowań w przeliczeniu na 1000 mieszańców wynosiła 18 osób (Polska: 11, województwo małopolskie: 11, powiat nowosądecki: 11). </w:t>
            </w:r>
          </w:p>
          <w:p w14:paraId="039FE60E" w14:textId="77777777" w:rsidR="00FE1F40" w:rsidRPr="000E60CF" w:rsidRDefault="00FE1F40" w:rsidP="00AA45E0">
            <w:pPr>
              <w:jc w:val="both"/>
              <w:rPr>
                <w:rFonts w:ascii="Arial Narrow" w:hAnsi="Arial Narrow"/>
              </w:rPr>
            </w:pPr>
          </w:p>
        </w:tc>
        <w:tc>
          <w:tcPr>
            <w:tcW w:w="700" w:type="dxa"/>
            <w:shd w:val="clear" w:color="auto" w:fill="auto"/>
            <w:textDirection w:val="btLr"/>
          </w:tcPr>
          <w:p w14:paraId="28496521" w14:textId="77777777" w:rsidR="00FE1F40" w:rsidRPr="000E60CF" w:rsidRDefault="00FE1F40" w:rsidP="00AA45E0">
            <w:pPr>
              <w:ind w:left="113" w:right="113"/>
              <w:jc w:val="right"/>
              <w:rPr>
                <w:rFonts w:ascii="Arial Narrow" w:hAnsi="Arial Narrow"/>
              </w:rPr>
            </w:pPr>
            <w:r w:rsidRPr="000E60CF">
              <w:rPr>
                <w:rFonts w:ascii="Arial Narrow" w:hAnsi="Arial Narrow"/>
              </w:rPr>
              <w:t>Rozdział 5 diagnozy</w:t>
            </w:r>
          </w:p>
        </w:tc>
        <w:tc>
          <w:tcPr>
            <w:tcW w:w="4257" w:type="dxa"/>
            <w:shd w:val="clear" w:color="auto" w:fill="auto"/>
          </w:tcPr>
          <w:p w14:paraId="22B965C0" w14:textId="77777777" w:rsidR="00FE1F40" w:rsidRPr="000E60CF" w:rsidRDefault="00FE1F40" w:rsidP="00AA45E0">
            <w:pPr>
              <w:jc w:val="both"/>
              <w:rPr>
                <w:rFonts w:ascii="Arial Narrow" w:hAnsi="Arial Narrow"/>
              </w:rPr>
            </w:pPr>
            <w:r w:rsidRPr="000E60CF">
              <w:rPr>
                <w:rFonts w:ascii="Arial Narrow" w:hAnsi="Arial Narrow"/>
              </w:rPr>
              <w:t>Brak wyraźnego centrum ruchu turystycznego, głównego, rozpoznawalnego i wypromowanego produktu turystycznego.</w:t>
            </w:r>
          </w:p>
          <w:p w14:paraId="3D814A85" w14:textId="77777777" w:rsidR="00FE1F40" w:rsidRPr="000E60CF" w:rsidRDefault="00FE1F40" w:rsidP="00AA45E0">
            <w:pPr>
              <w:jc w:val="both"/>
              <w:rPr>
                <w:rFonts w:ascii="Arial Narrow" w:hAnsi="Arial Narrow"/>
                <w:b/>
              </w:rPr>
            </w:pPr>
            <w:r w:rsidRPr="000E60CF">
              <w:rPr>
                <w:rFonts w:ascii="Arial Narrow" w:hAnsi="Arial Narrow"/>
              </w:rPr>
              <w:t>Baza gastronomiczna</w:t>
            </w:r>
            <w:r w:rsidRPr="000E60CF">
              <w:rPr>
                <w:rFonts w:ascii="Arial Narrow" w:hAnsi="Arial Narrow"/>
                <w:b/>
              </w:rPr>
              <w:t xml:space="preserve"> </w:t>
            </w:r>
            <w:r w:rsidRPr="000E60CF">
              <w:rPr>
                <w:rFonts w:ascii="Arial Narrow" w:hAnsi="Arial Narrow"/>
              </w:rPr>
              <w:t>– niewielka, mało urozmaicona, mało informacji o lokalach gastronomicznych na portalach informacyjnych i serwisach społecznościowych.</w:t>
            </w:r>
            <w:r w:rsidRPr="000E60CF">
              <w:rPr>
                <w:rFonts w:ascii="Arial Narrow" w:hAnsi="Arial Narrow"/>
                <w:b/>
              </w:rPr>
              <w:t xml:space="preserve"> </w:t>
            </w:r>
          </w:p>
          <w:p w14:paraId="2414AD01" w14:textId="77777777" w:rsidR="00FE1F40" w:rsidRPr="000E60CF" w:rsidRDefault="00FE1F40" w:rsidP="00AA45E0">
            <w:pPr>
              <w:jc w:val="both"/>
              <w:rPr>
                <w:rFonts w:ascii="Arial Narrow" w:hAnsi="Arial Narrow"/>
              </w:rPr>
            </w:pPr>
            <w:r w:rsidRPr="000E60CF">
              <w:rPr>
                <w:rFonts w:ascii="Arial Narrow" w:hAnsi="Arial Narrow"/>
              </w:rPr>
              <w:t>Słaba promocja oferty turystycznej poza LGD.</w:t>
            </w:r>
          </w:p>
          <w:p w14:paraId="483DCD4A" w14:textId="77777777" w:rsidR="00FE1F40" w:rsidRPr="000E60CF" w:rsidRDefault="00FE1F40" w:rsidP="00AA45E0">
            <w:pPr>
              <w:jc w:val="both"/>
              <w:rPr>
                <w:rFonts w:ascii="Arial Narrow" w:hAnsi="Arial Narrow"/>
              </w:rPr>
            </w:pPr>
            <w:r w:rsidRPr="000E60CF">
              <w:rPr>
                <w:rFonts w:ascii="Arial Narrow" w:hAnsi="Arial Narrow"/>
              </w:rPr>
              <w:t>Słabo rozwinięta infrastruktura turystyczna – uzupełniająca pobyt odwiedzających obszar LGD.</w:t>
            </w:r>
          </w:p>
          <w:p w14:paraId="05F96621" w14:textId="77777777" w:rsidR="00FE1F40" w:rsidRPr="000E60CF" w:rsidRDefault="00FE1F40" w:rsidP="00AA45E0">
            <w:pPr>
              <w:jc w:val="both"/>
              <w:rPr>
                <w:rFonts w:ascii="Arial Narrow" w:hAnsi="Arial Narrow"/>
              </w:rPr>
            </w:pPr>
            <w:r w:rsidRPr="000E60CF">
              <w:rPr>
                <w:rFonts w:ascii="Arial Narrow" w:hAnsi="Arial Narrow"/>
              </w:rPr>
              <w:t>Słaba i mało widoczna współpraca podmiotów z obszaru turystyki w celu wzajemnej promocji i informacji.</w:t>
            </w:r>
          </w:p>
          <w:p w14:paraId="4BCFB616" w14:textId="77777777" w:rsidR="00FE1F40" w:rsidRPr="000E60CF" w:rsidRDefault="00FE1F40" w:rsidP="00AA45E0">
            <w:pPr>
              <w:jc w:val="both"/>
              <w:rPr>
                <w:rFonts w:ascii="Arial Narrow" w:hAnsi="Arial Narrow"/>
              </w:rPr>
            </w:pPr>
            <w:r w:rsidRPr="000E60CF">
              <w:rPr>
                <w:rFonts w:ascii="Arial Narrow" w:hAnsi="Arial Narrow"/>
              </w:rPr>
              <w:t xml:space="preserve">Niewykorzystany potencjał i brak zagospodarowania zbiorników wodnych na terenie LGD. </w:t>
            </w:r>
          </w:p>
        </w:tc>
        <w:tc>
          <w:tcPr>
            <w:tcW w:w="654" w:type="dxa"/>
            <w:shd w:val="clear" w:color="auto" w:fill="auto"/>
            <w:textDirection w:val="btLr"/>
          </w:tcPr>
          <w:p w14:paraId="7A89495F" w14:textId="77777777" w:rsidR="00FE1F40" w:rsidRPr="000E60CF" w:rsidRDefault="00FE1F40" w:rsidP="00AA45E0">
            <w:pPr>
              <w:ind w:left="113" w:right="113"/>
              <w:jc w:val="right"/>
              <w:rPr>
                <w:rFonts w:ascii="Arial Narrow" w:hAnsi="Arial Narrow"/>
              </w:rPr>
            </w:pPr>
            <w:r w:rsidRPr="000E60CF">
              <w:rPr>
                <w:rFonts w:ascii="Arial Narrow" w:hAnsi="Arial Narrow"/>
              </w:rPr>
              <w:t>Wnioski z warsztatów strategicznych</w:t>
            </w:r>
          </w:p>
        </w:tc>
      </w:tr>
      <w:tr w:rsidR="00FE1F40" w:rsidRPr="000E60CF" w14:paraId="03CA4C90" w14:textId="77777777" w:rsidTr="00AA45E0">
        <w:trPr>
          <w:cantSplit/>
          <w:trHeight w:val="1134"/>
          <w:jc w:val="center"/>
        </w:trPr>
        <w:tc>
          <w:tcPr>
            <w:tcW w:w="4845" w:type="dxa"/>
            <w:shd w:val="clear" w:color="auto" w:fill="auto"/>
          </w:tcPr>
          <w:p w14:paraId="07F4AC06" w14:textId="77777777" w:rsidR="00FE1F40" w:rsidRPr="000E60CF" w:rsidRDefault="00FE1F40" w:rsidP="00AA45E0">
            <w:pPr>
              <w:jc w:val="both"/>
              <w:rPr>
                <w:rFonts w:ascii="Arial Narrow" w:hAnsi="Arial Narrow"/>
                <w:color w:val="00B050"/>
              </w:rPr>
            </w:pPr>
            <w:r w:rsidRPr="000E60CF">
              <w:rPr>
                <w:rFonts w:ascii="Arial Narrow" w:hAnsi="Arial Narrow"/>
              </w:rPr>
              <w:t>Działające KGW – to bardzo ważny podmiot na terenie LGD. Fenomenem tutaj jest gmina Grybów – działa tam 17 sztuk (W gm. Grybów oraz w Gminie Chełmiec odbywają się Gminne Przeglądy Dorobku KGW).</w:t>
            </w:r>
          </w:p>
          <w:p w14:paraId="507825D7" w14:textId="77777777" w:rsidR="00FE1F40" w:rsidRPr="000E60CF" w:rsidRDefault="00FE1F40" w:rsidP="00AA45E0">
            <w:pPr>
              <w:jc w:val="both"/>
              <w:rPr>
                <w:rFonts w:ascii="Arial Narrow" w:hAnsi="Arial Narrow"/>
              </w:rPr>
            </w:pPr>
            <w:r w:rsidRPr="000E60CF">
              <w:rPr>
                <w:rFonts w:ascii="Arial Narrow" w:hAnsi="Arial Narrow"/>
              </w:rPr>
              <w:t>Nowe obiekty sportowo-rekreacyjne</w:t>
            </w:r>
            <w:r w:rsidRPr="000E60CF">
              <w:rPr>
                <w:rFonts w:ascii="Arial Narrow" w:hAnsi="Arial Narrow"/>
                <w:b/>
              </w:rPr>
              <w:t xml:space="preserve"> </w:t>
            </w:r>
            <w:r w:rsidRPr="000E60CF">
              <w:rPr>
                <w:rFonts w:ascii="Arial Narrow" w:hAnsi="Arial Narrow"/>
              </w:rPr>
              <w:t xml:space="preserve">(m. in. siłownia zewnętrzna w gminie Chełmiec, place zabaw w gminie Kamionka Wielka, scena widowiskowa w Królowej Górnej, centrum lekkoatletyczne w </w:t>
            </w:r>
            <w:proofErr w:type="spellStart"/>
            <w:r w:rsidRPr="000E60CF">
              <w:rPr>
                <w:rFonts w:ascii="Arial Narrow" w:hAnsi="Arial Narrow"/>
              </w:rPr>
              <w:t>Binczarowej</w:t>
            </w:r>
            <w:proofErr w:type="spellEnd"/>
            <w:r w:rsidRPr="000E60CF">
              <w:rPr>
                <w:rFonts w:ascii="Arial Narrow" w:hAnsi="Arial Narrow"/>
              </w:rPr>
              <w:t xml:space="preserve">, obiekty turystyczno-rekreacyjne w Wyskitnej). W ostatnich latach powstała baza sportowa Gminy Chełmiec (kompleks sportowy „Orlik” w Świniarsku, sale gimnastyczne w Piątkowej, Marcinkowicach, Świniarsku, Librantowej, Paszynie, Trzetrzewinie i Chełmcu), czy w Grybowie: </w:t>
            </w:r>
            <w:r w:rsidRPr="000E60CF">
              <w:rPr>
                <w:rFonts w:ascii="Arial Narrow" w:hAnsi="Arial Narrow"/>
                <w:color w:val="000000" w:themeColor="text1"/>
              </w:rPr>
              <w:t>„Orlik” z 2012 roku z kortem tenisowym, boiskiem do piłki plażowej</w:t>
            </w:r>
            <w:r w:rsidRPr="000E60CF">
              <w:rPr>
                <w:rFonts w:ascii="Arial Narrow" w:hAnsi="Arial Narrow"/>
              </w:rPr>
              <w:t xml:space="preserve"> Obecnie w Ptaszkowej powstaje Ośrodek Sportów Zimowych (więcej: </w:t>
            </w:r>
            <w:hyperlink r:id="rId4" w:history="1">
              <w:r w:rsidRPr="000E60CF">
                <w:rPr>
                  <w:rStyle w:val="Hipercze"/>
                  <w:rFonts w:ascii="Arial Narrow" w:hAnsi="Arial Narrow"/>
                </w:rPr>
                <w:t>http://www.pzn.pl/biegi-narciarskie/aktualnosci/art1078,pzn-wspiera-budowe-tras-biegowych-w-gminie-grybow.html</w:t>
              </w:r>
            </w:hyperlink>
            <w:r w:rsidRPr="000E60CF">
              <w:rPr>
                <w:rFonts w:ascii="Arial Narrow" w:hAnsi="Arial Narrow"/>
              </w:rPr>
              <w:t>). W Chełmcu budowany jest basen.</w:t>
            </w:r>
          </w:p>
        </w:tc>
        <w:tc>
          <w:tcPr>
            <w:tcW w:w="700" w:type="dxa"/>
            <w:shd w:val="clear" w:color="auto" w:fill="auto"/>
            <w:textDirection w:val="btLr"/>
          </w:tcPr>
          <w:p w14:paraId="2C5083C5" w14:textId="77777777" w:rsidR="00FE1F40" w:rsidRPr="000E60CF" w:rsidRDefault="00FE1F40" w:rsidP="00AA45E0">
            <w:pPr>
              <w:ind w:left="113" w:right="113"/>
              <w:jc w:val="right"/>
              <w:rPr>
                <w:rFonts w:ascii="Arial Narrow" w:hAnsi="Arial Narrow"/>
                <w:b/>
              </w:rPr>
            </w:pPr>
            <w:r w:rsidRPr="000E60CF">
              <w:rPr>
                <w:rFonts w:ascii="Arial Narrow" w:hAnsi="Arial Narrow"/>
              </w:rPr>
              <w:t>Rozdział 7 diagnozy</w:t>
            </w:r>
          </w:p>
        </w:tc>
        <w:tc>
          <w:tcPr>
            <w:tcW w:w="4257" w:type="dxa"/>
            <w:vMerge w:val="restart"/>
            <w:shd w:val="clear" w:color="auto" w:fill="auto"/>
          </w:tcPr>
          <w:p w14:paraId="27DBEE2A" w14:textId="77777777" w:rsidR="00FE1F40" w:rsidRPr="000E60CF" w:rsidRDefault="00FE1F40" w:rsidP="00AA45E0">
            <w:pPr>
              <w:jc w:val="both"/>
              <w:rPr>
                <w:rFonts w:ascii="Arial Narrow" w:hAnsi="Arial Narrow"/>
              </w:rPr>
            </w:pPr>
          </w:p>
        </w:tc>
        <w:tc>
          <w:tcPr>
            <w:tcW w:w="654" w:type="dxa"/>
            <w:vMerge w:val="restart"/>
            <w:shd w:val="clear" w:color="auto" w:fill="auto"/>
            <w:textDirection w:val="btLr"/>
          </w:tcPr>
          <w:p w14:paraId="3B4C93AE" w14:textId="77777777" w:rsidR="00FE1F40" w:rsidRPr="000E60CF" w:rsidRDefault="00FE1F40" w:rsidP="00AA45E0">
            <w:pPr>
              <w:ind w:left="113" w:right="113"/>
              <w:jc w:val="right"/>
              <w:rPr>
                <w:rFonts w:ascii="Arial Narrow" w:hAnsi="Arial Narrow"/>
              </w:rPr>
            </w:pPr>
          </w:p>
        </w:tc>
      </w:tr>
      <w:tr w:rsidR="00FE1F40" w:rsidRPr="000E60CF" w14:paraId="1FF6BA81" w14:textId="77777777" w:rsidTr="00AA45E0">
        <w:trPr>
          <w:cantSplit/>
          <w:trHeight w:val="1134"/>
          <w:jc w:val="center"/>
        </w:trPr>
        <w:tc>
          <w:tcPr>
            <w:tcW w:w="4845" w:type="dxa"/>
            <w:shd w:val="clear" w:color="auto" w:fill="auto"/>
          </w:tcPr>
          <w:p w14:paraId="02E7D555" w14:textId="77777777" w:rsidR="00FE1F40" w:rsidRPr="000E60CF" w:rsidRDefault="00FE1F40" w:rsidP="00AA45E0">
            <w:pPr>
              <w:jc w:val="both"/>
              <w:rPr>
                <w:rFonts w:ascii="Arial Narrow" w:hAnsi="Arial Narrow"/>
              </w:rPr>
            </w:pPr>
            <w:r w:rsidRPr="000E60CF">
              <w:rPr>
                <w:rFonts w:ascii="Arial Narrow" w:hAnsi="Arial Narrow"/>
              </w:rPr>
              <w:t xml:space="preserve">Liczne imprezy kulturalne, m.in. Przeglądy Zespołów Kolędniczych, Przegląd Palm Wielkanocnych, Imieniny Gminy Chełmiec związane w uroczystościami ku czci świętego Krzysztofa, Powiatowy Przegląd Grup Kolędniczych SĄDECKIE KOLĘDOWANIE, Lato w Dolinie Kamionki, „Grybowskie Lato/Jesień”, </w:t>
            </w:r>
            <w:r w:rsidRPr="000E60CF">
              <w:rPr>
                <w:rFonts w:ascii="Arial Narrow" w:hAnsi="Arial Narrow"/>
                <w:color w:val="000000" w:themeColor="text1"/>
              </w:rPr>
              <w:t>Memoriał im</w:t>
            </w:r>
            <w:r w:rsidRPr="000E60CF">
              <w:rPr>
                <w:rFonts w:ascii="Arial Narrow" w:hAnsi="Arial Narrow"/>
              </w:rPr>
              <w:t xml:space="preserve">. R. </w:t>
            </w:r>
            <w:proofErr w:type="spellStart"/>
            <w:r w:rsidRPr="000E60CF">
              <w:rPr>
                <w:rFonts w:ascii="Arial Narrow" w:hAnsi="Arial Narrow"/>
              </w:rPr>
              <w:t>Stramki</w:t>
            </w:r>
            <w:proofErr w:type="spellEnd"/>
            <w:r w:rsidRPr="000E60CF">
              <w:rPr>
                <w:rFonts w:ascii="Arial Narrow" w:hAnsi="Arial Narrow"/>
              </w:rPr>
              <w:t xml:space="preserve"> i Z. Kmiecia w Ptaszkowej</w:t>
            </w:r>
            <w:r w:rsidRPr="000E60CF">
              <w:rPr>
                <w:rFonts w:ascii="Arial Narrow" w:hAnsi="Arial Narrow"/>
                <w:color w:val="000000" w:themeColor="text1"/>
              </w:rPr>
              <w:t>, Biesiada u Bartnika, Spartakiada Złota Jesień Osób Niepełnosprawnych w Stróżach, Letnia Spartakiada Integracyjna w Stróżach – są to wydarzenia cykliczne, specyficzne dla obszaru LGD, integrujące społeczność oraz promujące kulturę i tradycję.</w:t>
            </w:r>
            <w:r w:rsidRPr="000E60CF">
              <w:rPr>
                <w:rFonts w:ascii="Arial Narrow" w:hAnsi="Arial Narrow"/>
              </w:rPr>
              <w:t xml:space="preserve"> </w:t>
            </w:r>
          </w:p>
          <w:p w14:paraId="12EFC705" w14:textId="77777777" w:rsidR="00FE1F40" w:rsidRPr="000E60CF" w:rsidRDefault="00FE1F40" w:rsidP="00AA45E0">
            <w:pPr>
              <w:jc w:val="both"/>
              <w:rPr>
                <w:rFonts w:ascii="Arial Narrow" w:hAnsi="Arial Narrow"/>
              </w:rPr>
            </w:pPr>
            <w:r w:rsidRPr="000E60CF">
              <w:rPr>
                <w:rFonts w:ascii="Arial Narrow" w:hAnsi="Arial Narrow"/>
              </w:rPr>
              <w:t>46 zabytków wpisanych do Rejestru Zabytków Nieruchomych Województwa Małopolskiego, a oprócz tego lokalne zabytki niewpisane do Rejestru.</w:t>
            </w:r>
          </w:p>
        </w:tc>
        <w:tc>
          <w:tcPr>
            <w:tcW w:w="700" w:type="dxa"/>
            <w:shd w:val="clear" w:color="auto" w:fill="auto"/>
            <w:textDirection w:val="btLr"/>
          </w:tcPr>
          <w:p w14:paraId="13B2B395" w14:textId="77777777" w:rsidR="00FE1F40" w:rsidRPr="000E60CF" w:rsidRDefault="00FE1F40" w:rsidP="00AA45E0">
            <w:pPr>
              <w:ind w:left="113" w:right="113"/>
              <w:jc w:val="right"/>
              <w:rPr>
                <w:rFonts w:ascii="Arial Narrow" w:hAnsi="Arial Narrow"/>
              </w:rPr>
            </w:pPr>
            <w:r w:rsidRPr="000E60CF">
              <w:rPr>
                <w:rFonts w:ascii="Arial Narrow" w:hAnsi="Arial Narrow"/>
              </w:rPr>
              <w:t>Rozdział 7 diagnozy</w:t>
            </w:r>
          </w:p>
        </w:tc>
        <w:tc>
          <w:tcPr>
            <w:tcW w:w="4257" w:type="dxa"/>
            <w:vMerge/>
            <w:shd w:val="clear" w:color="auto" w:fill="auto"/>
          </w:tcPr>
          <w:p w14:paraId="49A01E6A" w14:textId="77777777" w:rsidR="00FE1F40" w:rsidRPr="000E60CF" w:rsidRDefault="00FE1F40" w:rsidP="00AA45E0">
            <w:pPr>
              <w:jc w:val="both"/>
              <w:rPr>
                <w:rFonts w:ascii="Arial Narrow" w:hAnsi="Arial Narrow"/>
                <w:b/>
              </w:rPr>
            </w:pPr>
          </w:p>
        </w:tc>
        <w:tc>
          <w:tcPr>
            <w:tcW w:w="654" w:type="dxa"/>
            <w:vMerge/>
            <w:shd w:val="clear" w:color="auto" w:fill="auto"/>
            <w:textDirection w:val="btLr"/>
          </w:tcPr>
          <w:p w14:paraId="1EBBA6B2" w14:textId="77777777" w:rsidR="00FE1F40" w:rsidRPr="000E60CF" w:rsidRDefault="00FE1F40" w:rsidP="00AA45E0">
            <w:pPr>
              <w:ind w:left="113" w:right="113"/>
              <w:jc w:val="right"/>
              <w:rPr>
                <w:rFonts w:ascii="Arial Narrow" w:hAnsi="Arial Narrow"/>
                <w:b/>
              </w:rPr>
            </w:pPr>
          </w:p>
        </w:tc>
      </w:tr>
      <w:tr w:rsidR="00FE1F40" w:rsidRPr="000E60CF" w14:paraId="5006E68B" w14:textId="77777777" w:rsidTr="00AA45E0">
        <w:trPr>
          <w:cantSplit/>
          <w:trHeight w:val="1134"/>
          <w:jc w:val="center"/>
        </w:trPr>
        <w:tc>
          <w:tcPr>
            <w:tcW w:w="4845" w:type="dxa"/>
            <w:shd w:val="clear" w:color="auto" w:fill="auto"/>
          </w:tcPr>
          <w:p w14:paraId="575DB769" w14:textId="77777777" w:rsidR="00FE1F40" w:rsidRPr="000E60CF" w:rsidRDefault="00FE1F40" w:rsidP="00AA45E0">
            <w:pPr>
              <w:jc w:val="both"/>
              <w:rPr>
                <w:rFonts w:ascii="Arial Narrow" w:hAnsi="Arial Narrow"/>
                <w:color w:val="000000" w:themeColor="text1"/>
              </w:rPr>
            </w:pPr>
            <w:r w:rsidRPr="000E60CF">
              <w:rPr>
                <w:rFonts w:ascii="Arial Narrow" w:hAnsi="Arial Narrow"/>
                <w:color w:val="000000" w:themeColor="text1"/>
              </w:rPr>
              <w:lastRenderedPageBreak/>
              <w:t xml:space="preserve">Spory potencjał przyrodniczy i historyczny obszaru: położenie na obszarze Pogórza Rożnowsko-Ciężkowickiego (zachodni masyw Beskidu Niskiego), z zachodu ograniczone górskimi wzniesieniami Beskidu Wyspowego, atrakcyjne widokowo tereny przy ujściu Smolnika do Dunajca, miejscowość Paszyn – ośrodek autentycznej rzeźby ludowej i prymitywnego malarstwa, muzeum etnograficzne, znajduje się tu dawna Łemkowszczyzna, a także inne, między innymi Kościół w </w:t>
            </w:r>
            <w:proofErr w:type="spellStart"/>
            <w:r w:rsidRPr="000E60CF">
              <w:rPr>
                <w:rFonts w:ascii="Arial Narrow" w:hAnsi="Arial Narrow"/>
                <w:color w:val="000000" w:themeColor="text1"/>
              </w:rPr>
              <w:t>Binczarowej</w:t>
            </w:r>
            <w:proofErr w:type="spellEnd"/>
            <w:r w:rsidRPr="000E60CF">
              <w:rPr>
                <w:rFonts w:ascii="Arial Narrow" w:hAnsi="Arial Narrow"/>
                <w:color w:val="000000" w:themeColor="text1"/>
              </w:rPr>
              <w:t xml:space="preserve"> (wpisany na listę UNESCO), Kąclowej, Krużlowej Wyżnej, cerkiew w Boguszy i w Królowej Górnej, Skansen Pszczelarski im. Bogdana </w:t>
            </w:r>
            <w:proofErr w:type="spellStart"/>
            <w:r w:rsidRPr="000E60CF">
              <w:rPr>
                <w:rFonts w:ascii="Arial Narrow" w:hAnsi="Arial Narrow"/>
                <w:color w:val="000000" w:themeColor="text1"/>
              </w:rPr>
              <w:t>Szymusika</w:t>
            </w:r>
            <w:proofErr w:type="spellEnd"/>
            <w:r w:rsidRPr="000E60CF">
              <w:rPr>
                <w:rFonts w:ascii="Arial Narrow" w:hAnsi="Arial Narrow"/>
                <w:color w:val="000000" w:themeColor="text1"/>
              </w:rPr>
              <w:t xml:space="preserve"> w Stróżach.</w:t>
            </w:r>
          </w:p>
          <w:p w14:paraId="41521B19" w14:textId="77777777" w:rsidR="00FE1F40" w:rsidRPr="000E60CF" w:rsidRDefault="00FE1F40" w:rsidP="00AA45E0">
            <w:pPr>
              <w:jc w:val="both"/>
              <w:rPr>
                <w:rFonts w:ascii="Arial Narrow" w:hAnsi="Arial Narrow"/>
                <w:color w:val="000000" w:themeColor="text1"/>
              </w:rPr>
            </w:pPr>
            <w:r w:rsidRPr="000E60CF">
              <w:rPr>
                <w:rFonts w:ascii="Arial Narrow" w:hAnsi="Arial Narrow"/>
                <w:color w:val="000000" w:themeColor="text1"/>
              </w:rPr>
              <w:t>Mnogość obszarów objętych różnymi formami ochrony przyrody - 19228,1 ha obszarów prawnie chronionych, 37 pomników przyrody, rezerwaty, pomniki przyrody, park krajobrazowy.</w:t>
            </w:r>
          </w:p>
          <w:p w14:paraId="05E673C3" w14:textId="77777777" w:rsidR="00FE1F40" w:rsidRPr="000E60CF" w:rsidRDefault="00FE1F40" w:rsidP="00AA45E0">
            <w:pPr>
              <w:jc w:val="both"/>
              <w:rPr>
                <w:rFonts w:ascii="Arial Narrow" w:hAnsi="Arial Narrow"/>
              </w:rPr>
            </w:pPr>
            <w:r w:rsidRPr="000E60CF">
              <w:rPr>
                <w:rFonts w:ascii="Arial Narrow" w:hAnsi="Arial Narrow"/>
                <w:color w:val="000000" w:themeColor="text1"/>
              </w:rPr>
              <w:t>Atrakcje turystyczne w postaci: część Szlaku Architektury Drewnianej, skansenu będącego częścią Muzeum Pszczelarstwa „Sądecki Bartnik” oraz miejscowość Paszyn, w której znajduje się Muzeum Sztuki Ludowej im. ks. E. Nitki, a także Muzeum Parafialne w Grybowie w budynku z XVII wieku, rekonstrukcja zamku i warowni – obiekt „Stara Baśń’ w Grybowie.</w:t>
            </w:r>
          </w:p>
        </w:tc>
        <w:tc>
          <w:tcPr>
            <w:tcW w:w="700" w:type="dxa"/>
            <w:shd w:val="clear" w:color="auto" w:fill="auto"/>
            <w:textDirection w:val="btLr"/>
          </w:tcPr>
          <w:p w14:paraId="74F3C5F8" w14:textId="77777777" w:rsidR="00FE1F40" w:rsidRPr="000E60CF" w:rsidRDefault="00FE1F40" w:rsidP="00AA45E0">
            <w:pPr>
              <w:ind w:left="113" w:right="113"/>
              <w:jc w:val="right"/>
              <w:rPr>
                <w:rFonts w:ascii="Arial Narrow" w:hAnsi="Arial Narrow"/>
              </w:rPr>
            </w:pPr>
            <w:r w:rsidRPr="000E60CF">
              <w:rPr>
                <w:rFonts w:ascii="Arial Narrow" w:hAnsi="Arial Narrow"/>
              </w:rPr>
              <w:t>Rozdział 8 diagnozy</w:t>
            </w:r>
          </w:p>
        </w:tc>
        <w:tc>
          <w:tcPr>
            <w:tcW w:w="4257" w:type="dxa"/>
            <w:vMerge/>
            <w:shd w:val="clear" w:color="auto" w:fill="auto"/>
          </w:tcPr>
          <w:p w14:paraId="46FEBBE5" w14:textId="77777777" w:rsidR="00FE1F40" w:rsidRPr="000E60CF" w:rsidRDefault="00FE1F40" w:rsidP="00AA45E0">
            <w:pPr>
              <w:jc w:val="both"/>
              <w:rPr>
                <w:rFonts w:ascii="Arial Narrow" w:hAnsi="Arial Narrow"/>
                <w:b/>
              </w:rPr>
            </w:pPr>
          </w:p>
        </w:tc>
        <w:tc>
          <w:tcPr>
            <w:tcW w:w="654" w:type="dxa"/>
            <w:vMerge/>
            <w:shd w:val="clear" w:color="auto" w:fill="auto"/>
            <w:textDirection w:val="btLr"/>
          </w:tcPr>
          <w:p w14:paraId="357B2353" w14:textId="77777777" w:rsidR="00FE1F40" w:rsidRPr="000E60CF" w:rsidRDefault="00FE1F40" w:rsidP="00AA45E0">
            <w:pPr>
              <w:ind w:left="113" w:right="113"/>
              <w:jc w:val="right"/>
              <w:rPr>
                <w:rFonts w:ascii="Arial Narrow" w:hAnsi="Arial Narrow"/>
                <w:b/>
              </w:rPr>
            </w:pPr>
          </w:p>
        </w:tc>
      </w:tr>
      <w:tr w:rsidR="00FE1F40" w:rsidRPr="000E60CF" w14:paraId="4FEFF46B" w14:textId="77777777" w:rsidTr="00AA45E0">
        <w:trPr>
          <w:cantSplit/>
          <w:trHeight w:val="1134"/>
          <w:jc w:val="center"/>
        </w:trPr>
        <w:tc>
          <w:tcPr>
            <w:tcW w:w="4845" w:type="dxa"/>
            <w:shd w:val="clear" w:color="auto" w:fill="auto"/>
          </w:tcPr>
          <w:p w14:paraId="33C72F99" w14:textId="77777777" w:rsidR="00FE1F40" w:rsidRPr="000E60CF" w:rsidRDefault="00FE1F40" w:rsidP="00AA45E0">
            <w:pPr>
              <w:jc w:val="both"/>
              <w:rPr>
                <w:rFonts w:ascii="Arial Narrow" w:hAnsi="Arial Narrow"/>
                <w:color w:val="000000" w:themeColor="text1"/>
              </w:rPr>
            </w:pPr>
            <w:r w:rsidRPr="000E60CF">
              <w:rPr>
                <w:rFonts w:ascii="Arial Narrow" w:hAnsi="Arial Narrow"/>
                <w:color w:val="000000" w:themeColor="text1"/>
              </w:rPr>
              <w:t>Cztery ścieżki przyrodnicze (Biała Niżna, Ptaszkowa, Stróże, „</w:t>
            </w:r>
            <w:proofErr w:type="spellStart"/>
            <w:r w:rsidRPr="000E60CF">
              <w:rPr>
                <w:rFonts w:ascii="Arial Narrow" w:hAnsi="Arial Narrow"/>
                <w:color w:val="000000" w:themeColor="text1"/>
              </w:rPr>
              <w:t>Rachelowskie</w:t>
            </w:r>
            <w:proofErr w:type="spellEnd"/>
            <w:r w:rsidRPr="000E60CF">
              <w:rPr>
                <w:rFonts w:ascii="Arial Narrow" w:hAnsi="Arial Narrow"/>
                <w:color w:val="000000" w:themeColor="text1"/>
              </w:rPr>
              <w:t xml:space="preserve"> Góry”), przyrodniczo-leśna „Rdziostów” oraz dydaktyczno-rekreacyjna w Biczycach Górnych. </w:t>
            </w:r>
          </w:p>
          <w:p w14:paraId="7B79D6E5" w14:textId="77777777" w:rsidR="00FE1F40" w:rsidRPr="000E60CF" w:rsidRDefault="00FE1F40" w:rsidP="00AA45E0">
            <w:pPr>
              <w:jc w:val="both"/>
              <w:rPr>
                <w:rFonts w:ascii="Arial Narrow" w:hAnsi="Arial Narrow"/>
                <w:color w:val="000000" w:themeColor="text1"/>
              </w:rPr>
            </w:pPr>
            <w:r w:rsidRPr="000E60CF">
              <w:rPr>
                <w:rFonts w:ascii="Arial Narrow" w:hAnsi="Arial Narrow"/>
                <w:color w:val="000000" w:themeColor="text1"/>
              </w:rPr>
              <w:t>2 stacje narciarskie (Stacja narciarska „Cieniawa-SKI”, Wyciąg narciarski PKS Jaworze w Ptaszkowej).</w:t>
            </w:r>
          </w:p>
        </w:tc>
        <w:tc>
          <w:tcPr>
            <w:tcW w:w="700" w:type="dxa"/>
            <w:shd w:val="clear" w:color="auto" w:fill="auto"/>
            <w:textDirection w:val="btLr"/>
          </w:tcPr>
          <w:p w14:paraId="0C3618FD" w14:textId="77777777" w:rsidR="00FE1F40" w:rsidRPr="000E60CF" w:rsidRDefault="00FE1F40" w:rsidP="00AA45E0">
            <w:pPr>
              <w:ind w:left="113" w:right="113"/>
              <w:jc w:val="right"/>
              <w:rPr>
                <w:rFonts w:ascii="Arial Narrow" w:hAnsi="Arial Narrow"/>
                <w:b/>
              </w:rPr>
            </w:pPr>
            <w:r w:rsidRPr="000E60CF">
              <w:rPr>
                <w:rFonts w:ascii="Arial Narrow" w:hAnsi="Arial Narrow"/>
              </w:rPr>
              <w:t>Rozdział 8 diagnozy</w:t>
            </w:r>
          </w:p>
        </w:tc>
        <w:tc>
          <w:tcPr>
            <w:tcW w:w="4257" w:type="dxa"/>
            <w:vMerge/>
            <w:shd w:val="clear" w:color="auto" w:fill="auto"/>
          </w:tcPr>
          <w:p w14:paraId="126956E3" w14:textId="77777777" w:rsidR="00FE1F40" w:rsidRPr="000E60CF" w:rsidRDefault="00FE1F40" w:rsidP="00AA45E0">
            <w:pPr>
              <w:jc w:val="both"/>
              <w:rPr>
                <w:rFonts w:ascii="Arial Narrow" w:hAnsi="Arial Narrow"/>
              </w:rPr>
            </w:pPr>
          </w:p>
        </w:tc>
        <w:tc>
          <w:tcPr>
            <w:tcW w:w="654" w:type="dxa"/>
            <w:vMerge/>
            <w:shd w:val="clear" w:color="auto" w:fill="auto"/>
            <w:textDirection w:val="btLr"/>
          </w:tcPr>
          <w:p w14:paraId="6E37060C" w14:textId="77777777" w:rsidR="00FE1F40" w:rsidRPr="000E60CF" w:rsidRDefault="00FE1F40" w:rsidP="00AA45E0">
            <w:pPr>
              <w:ind w:left="113" w:right="113"/>
              <w:jc w:val="right"/>
              <w:rPr>
                <w:rFonts w:ascii="Arial Narrow" w:hAnsi="Arial Narrow"/>
                <w:b/>
              </w:rPr>
            </w:pPr>
          </w:p>
        </w:tc>
      </w:tr>
      <w:tr w:rsidR="00FE1F40" w:rsidRPr="000E60CF" w14:paraId="3E6836A0" w14:textId="77777777" w:rsidTr="00AA45E0">
        <w:trPr>
          <w:cantSplit/>
          <w:trHeight w:val="1134"/>
          <w:jc w:val="center"/>
        </w:trPr>
        <w:tc>
          <w:tcPr>
            <w:tcW w:w="4845" w:type="dxa"/>
            <w:shd w:val="clear" w:color="auto" w:fill="auto"/>
          </w:tcPr>
          <w:p w14:paraId="438082AA" w14:textId="77777777" w:rsidR="00FE1F40" w:rsidRPr="000E60CF" w:rsidRDefault="00FE1F40" w:rsidP="00AA45E0">
            <w:pPr>
              <w:jc w:val="both"/>
              <w:rPr>
                <w:rFonts w:ascii="Arial Narrow" w:hAnsi="Arial Narrow"/>
              </w:rPr>
            </w:pPr>
            <w:r w:rsidRPr="000E60CF">
              <w:rPr>
                <w:rFonts w:ascii="Arial Narrow" w:hAnsi="Arial Narrow"/>
              </w:rPr>
              <w:t xml:space="preserve">12 kulinarnych produktów lokalnych wyróżnionych w projekcie „Lokalne inicjatywy na rzecz rozwoju regionalnego powiatu gorlickiego i nowosądeckiego”. </w:t>
            </w:r>
          </w:p>
          <w:p w14:paraId="34218CC6" w14:textId="77777777" w:rsidR="00FE1F40" w:rsidRPr="000E60CF" w:rsidRDefault="00FE1F40" w:rsidP="00AA45E0">
            <w:pPr>
              <w:jc w:val="both"/>
              <w:rPr>
                <w:rFonts w:ascii="Arial Narrow" w:hAnsi="Arial Narrow"/>
              </w:rPr>
            </w:pPr>
            <w:r w:rsidRPr="000E60CF">
              <w:rPr>
                <w:rFonts w:ascii="Arial Narrow" w:hAnsi="Arial Narrow"/>
              </w:rPr>
              <w:t>26 rękodzielniczych produktów lokalnych</w:t>
            </w:r>
            <w:r w:rsidRPr="000E60CF">
              <w:rPr>
                <w:rFonts w:ascii="Arial Narrow" w:hAnsi="Arial Narrow"/>
                <w:b/>
              </w:rPr>
              <w:t xml:space="preserve"> </w:t>
            </w:r>
            <w:r w:rsidRPr="000E60CF">
              <w:rPr>
                <w:rFonts w:ascii="Arial Narrow" w:hAnsi="Arial Narrow"/>
              </w:rPr>
              <w:t>wyróżnionych w projekcie „Lokalne inicjatywy na rzecz rozwoju regionalnego powiatu gorlickiego i nowosądeckiego”.</w:t>
            </w:r>
          </w:p>
        </w:tc>
        <w:tc>
          <w:tcPr>
            <w:tcW w:w="700" w:type="dxa"/>
            <w:shd w:val="clear" w:color="auto" w:fill="auto"/>
            <w:textDirection w:val="btLr"/>
          </w:tcPr>
          <w:p w14:paraId="062259AE" w14:textId="77777777" w:rsidR="00FE1F40" w:rsidRPr="000E60CF" w:rsidRDefault="00FE1F40" w:rsidP="00AA45E0">
            <w:pPr>
              <w:ind w:left="113" w:right="113"/>
              <w:jc w:val="right"/>
              <w:rPr>
                <w:rFonts w:ascii="Arial Narrow" w:hAnsi="Arial Narrow"/>
              </w:rPr>
            </w:pPr>
            <w:r w:rsidRPr="000E60CF">
              <w:rPr>
                <w:rFonts w:ascii="Arial Narrow" w:hAnsi="Arial Narrow"/>
              </w:rPr>
              <w:t>Rozdział 9 diagnozy</w:t>
            </w:r>
          </w:p>
        </w:tc>
        <w:tc>
          <w:tcPr>
            <w:tcW w:w="4257" w:type="dxa"/>
            <w:vMerge/>
            <w:shd w:val="clear" w:color="auto" w:fill="auto"/>
          </w:tcPr>
          <w:p w14:paraId="6ED72234" w14:textId="77777777" w:rsidR="00FE1F40" w:rsidRPr="000E60CF" w:rsidRDefault="00FE1F40" w:rsidP="00AA45E0">
            <w:pPr>
              <w:jc w:val="both"/>
              <w:rPr>
                <w:rFonts w:ascii="Arial Narrow" w:hAnsi="Arial Narrow"/>
              </w:rPr>
            </w:pPr>
          </w:p>
        </w:tc>
        <w:tc>
          <w:tcPr>
            <w:tcW w:w="654" w:type="dxa"/>
            <w:vMerge/>
            <w:shd w:val="clear" w:color="auto" w:fill="auto"/>
            <w:textDirection w:val="btLr"/>
          </w:tcPr>
          <w:p w14:paraId="4E48155C" w14:textId="77777777" w:rsidR="00FE1F40" w:rsidRPr="000E60CF" w:rsidRDefault="00FE1F40" w:rsidP="00AA45E0">
            <w:pPr>
              <w:ind w:left="113" w:right="113"/>
              <w:jc w:val="right"/>
              <w:rPr>
                <w:rFonts w:ascii="Arial Narrow" w:hAnsi="Arial Narrow"/>
                <w:highlight w:val="yellow"/>
              </w:rPr>
            </w:pPr>
          </w:p>
        </w:tc>
      </w:tr>
      <w:tr w:rsidR="00FE1F40" w:rsidRPr="000E60CF" w14:paraId="2D75DB5C" w14:textId="77777777" w:rsidTr="00AA45E0">
        <w:trPr>
          <w:cantSplit/>
          <w:trHeight w:val="2087"/>
          <w:jc w:val="center"/>
        </w:trPr>
        <w:tc>
          <w:tcPr>
            <w:tcW w:w="4845" w:type="dxa"/>
            <w:shd w:val="clear" w:color="auto" w:fill="auto"/>
          </w:tcPr>
          <w:p w14:paraId="3F04678D" w14:textId="77777777" w:rsidR="00FE1F40" w:rsidRPr="000E60CF" w:rsidRDefault="00FE1F40" w:rsidP="00AA45E0">
            <w:pPr>
              <w:jc w:val="both"/>
              <w:rPr>
                <w:rFonts w:ascii="Arial Narrow" w:hAnsi="Arial Narrow"/>
              </w:rPr>
            </w:pPr>
            <w:r w:rsidRPr="000E60CF">
              <w:rPr>
                <w:rFonts w:ascii="Arial Narrow" w:hAnsi="Arial Narrow"/>
              </w:rPr>
              <w:t>Ośrodek Hipoterapii wraz z krytą zjeżdżalnią przy Fundacji Pomocy Osobom Niepełnosprawnym w Stróżach.</w:t>
            </w:r>
          </w:p>
          <w:p w14:paraId="27055461" w14:textId="77777777" w:rsidR="00FE1F40" w:rsidRPr="000E60CF" w:rsidRDefault="00FE1F40" w:rsidP="00AA45E0">
            <w:pPr>
              <w:jc w:val="both"/>
              <w:rPr>
                <w:rFonts w:ascii="Arial Narrow" w:hAnsi="Arial Narrow"/>
              </w:rPr>
            </w:pPr>
            <w:r w:rsidRPr="000E60CF">
              <w:rPr>
                <w:rFonts w:ascii="Arial Narrow" w:hAnsi="Arial Narrow"/>
              </w:rPr>
              <w:t>Gminy Kamionka Wielka i Grybów są członkami Sądeckiej Organizacji Turystycznej.</w:t>
            </w:r>
          </w:p>
          <w:p w14:paraId="29636072" w14:textId="77777777" w:rsidR="00FE1F40" w:rsidRDefault="00FE1F40" w:rsidP="00AA45E0">
            <w:pPr>
              <w:jc w:val="both"/>
              <w:rPr>
                <w:rFonts w:ascii="Arial Narrow" w:hAnsi="Arial Narrow"/>
              </w:rPr>
            </w:pPr>
            <w:r w:rsidRPr="000E60CF">
              <w:rPr>
                <w:rFonts w:ascii="Arial Narrow" w:hAnsi="Arial Narrow"/>
              </w:rPr>
              <w:t>Doświadczenie w realizacji projektów partnerskich za pośrednictwem LGD w perspektywie 2007-2013.</w:t>
            </w:r>
          </w:p>
          <w:p w14:paraId="1282E402" w14:textId="18B881A3" w:rsidR="00FE1F40" w:rsidRPr="000E60CF" w:rsidRDefault="00FE1F40" w:rsidP="00AA45E0">
            <w:pPr>
              <w:jc w:val="both"/>
              <w:rPr>
                <w:rFonts w:ascii="Arial Narrow" w:hAnsi="Arial Narrow"/>
              </w:rPr>
            </w:pPr>
          </w:p>
        </w:tc>
        <w:tc>
          <w:tcPr>
            <w:tcW w:w="700" w:type="dxa"/>
            <w:shd w:val="clear" w:color="auto" w:fill="auto"/>
            <w:textDirection w:val="btLr"/>
          </w:tcPr>
          <w:p w14:paraId="4271E13D" w14:textId="77777777" w:rsidR="00FE1F40" w:rsidRPr="000E60CF" w:rsidRDefault="00FE1F40" w:rsidP="00AA45E0">
            <w:pPr>
              <w:ind w:left="113" w:right="113"/>
              <w:jc w:val="right"/>
              <w:rPr>
                <w:rFonts w:ascii="Arial Narrow" w:hAnsi="Arial Narrow"/>
              </w:rPr>
            </w:pPr>
            <w:r w:rsidRPr="000E60CF">
              <w:rPr>
                <w:rFonts w:ascii="Arial Narrow" w:hAnsi="Arial Narrow"/>
              </w:rPr>
              <w:t>Wnioski z warsztatów strategicznych</w:t>
            </w:r>
          </w:p>
          <w:p w14:paraId="25DACA10" w14:textId="77777777" w:rsidR="00FE1F40" w:rsidRPr="000E60CF" w:rsidRDefault="00FE1F40" w:rsidP="00AA45E0">
            <w:pPr>
              <w:ind w:left="113" w:right="113"/>
              <w:jc w:val="right"/>
              <w:rPr>
                <w:rFonts w:ascii="Arial Narrow" w:hAnsi="Arial Narrow"/>
              </w:rPr>
            </w:pPr>
          </w:p>
        </w:tc>
        <w:tc>
          <w:tcPr>
            <w:tcW w:w="4257" w:type="dxa"/>
            <w:vMerge/>
            <w:shd w:val="clear" w:color="auto" w:fill="auto"/>
          </w:tcPr>
          <w:p w14:paraId="558686AD" w14:textId="77777777" w:rsidR="00FE1F40" w:rsidRPr="000E60CF" w:rsidRDefault="00FE1F40" w:rsidP="00AA45E0">
            <w:pPr>
              <w:jc w:val="both"/>
              <w:rPr>
                <w:rFonts w:ascii="Arial Narrow" w:hAnsi="Arial Narrow"/>
              </w:rPr>
            </w:pPr>
          </w:p>
        </w:tc>
        <w:tc>
          <w:tcPr>
            <w:tcW w:w="654" w:type="dxa"/>
            <w:vMerge/>
            <w:shd w:val="clear" w:color="auto" w:fill="auto"/>
            <w:textDirection w:val="btLr"/>
          </w:tcPr>
          <w:p w14:paraId="24E983E6" w14:textId="77777777" w:rsidR="00FE1F40" w:rsidRPr="000E60CF" w:rsidRDefault="00FE1F40" w:rsidP="00AA45E0">
            <w:pPr>
              <w:ind w:left="113" w:right="113"/>
              <w:jc w:val="right"/>
              <w:rPr>
                <w:rFonts w:ascii="Arial Narrow" w:hAnsi="Arial Narrow"/>
              </w:rPr>
            </w:pPr>
          </w:p>
        </w:tc>
      </w:tr>
      <w:tr w:rsidR="00FE1F40" w:rsidRPr="000E60CF" w14:paraId="6E588C87" w14:textId="77777777" w:rsidTr="00AA45E0">
        <w:trPr>
          <w:cantSplit/>
          <w:trHeight w:val="149"/>
          <w:jc w:val="center"/>
        </w:trPr>
        <w:tc>
          <w:tcPr>
            <w:tcW w:w="4845" w:type="dxa"/>
            <w:tcBorders>
              <w:bottom w:val="single" w:sz="4" w:space="0" w:color="auto"/>
            </w:tcBorders>
            <w:shd w:val="clear" w:color="auto" w:fill="D0CECE" w:themeFill="background2" w:themeFillShade="E6"/>
          </w:tcPr>
          <w:p w14:paraId="1D6D12DE" w14:textId="77777777" w:rsidR="00FE1F40" w:rsidRPr="000E60CF" w:rsidRDefault="00FE1F40" w:rsidP="00AA45E0">
            <w:pPr>
              <w:jc w:val="center"/>
              <w:rPr>
                <w:rFonts w:ascii="Arial Narrow" w:hAnsi="Arial Narrow"/>
                <w:b/>
              </w:rPr>
            </w:pPr>
            <w:r w:rsidRPr="000E60CF">
              <w:rPr>
                <w:rFonts w:ascii="Arial Narrow" w:hAnsi="Arial Narrow"/>
                <w:b/>
              </w:rPr>
              <w:t>Szanse</w:t>
            </w:r>
          </w:p>
        </w:tc>
        <w:tc>
          <w:tcPr>
            <w:tcW w:w="700" w:type="dxa"/>
            <w:tcBorders>
              <w:bottom w:val="single" w:sz="4" w:space="0" w:color="auto"/>
            </w:tcBorders>
            <w:shd w:val="clear" w:color="auto" w:fill="D0CECE" w:themeFill="background2" w:themeFillShade="E6"/>
            <w:textDirection w:val="btLr"/>
          </w:tcPr>
          <w:p w14:paraId="7C799C32" w14:textId="77777777" w:rsidR="00FE1F40" w:rsidRPr="000E60CF" w:rsidRDefault="00FE1F40" w:rsidP="00AA45E0">
            <w:pPr>
              <w:ind w:left="113" w:right="113"/>
              <w:jc w:val="center"/>
              <w:rPr>
                <w:rFonts w:ascii="Arial Narrow" w:hAnsi="Arial Narrow"/>
                <w:b/>
              </w:rPr>
            </w:pPr>
          </w:p>
        </w:tc>
        <w:tc>
          <w:tcPr>
            <w:tcW w:w="4257" w:type="dxa"/>
            <w:tcBorders>
              <w:bottom w:val="single" w:sz="4" w:space="0" w:color="auto"/>
            </w:tcBorders>
            <w:shd w:val="clear" w:color="auto" w:fill="D0CECE" w:themeFill="background2" w:themeFillShade="E6"/>
          </w:tcPr>
          <w:p w14:paraId="606A2A4A" w14:textId="77777777" w:rsidR="00FE1F40" w:rsidRPr="000E60CF" w:rsidRDefault="00FE1F40" w:rsidP="00AA45E0">
            <w:pPr>
              <w:jc w:val="center"/>
              <w:rPr>
                <w:rFonts w:ascii="Arial Narrow" w:hAnsi="Arial Narrow"/>
                <w:b/>
              </w:rPr>
            </w:pPr>
            <w:r w:rsidRPr="000E60CF">
              <w:rPr>
                <w:rFonts w:ascii="Arial Narrow" w:hAnsi="Arial Narrow"/>
                <w:b/>
              </w:rPr>
              <w:t>Zagrożenia</w:t>
            </w:r>
          </w:p>
        </w:tc>
        <w:tc>
          <w:tcPr>
            <w:tcW w:w="654" w:type="dxa"/>
            <w:tcBorders>
              <w:bottom w:val="single" w:sz="4" w:space="0" w:color="auto"/>
            </w:tcBorders>
            <w:shd w:val="clear" w:color="auto" w:fill="DBDBDB" w:themeFill="accent3" w:themeFillTint="66"/>
            <w:textDirection w:val="btLr"/>
          </w:tcPr>
          <w:p w14:paraId="63E54A19" w14:textId="77777777" w:rsidR="00FE1F40" w:rsidRPr="000E60CF" w:rsidRDefault="00FE1F40" w:rsidP="00AA45E0">
            <w:pPr>
              <w:ind w:left="113" w:right="113"/>
              <w:jc w:val="right"/>
              <w:rPr>
                <w:rFonts w:ascii="Arial Narrow" w:hAnsi="Arial Narrow"/>
                <w:b/>
              </w:rPr>
            </w:pPr>
          </w:p>
        </w:tc>
      </w:tr>
      <w:tr w:rsidR="00FE1F40" w:rsidRPr="000E60CF" w14:paraId="31679419" w14:textId="77777777" w:rsidTr="00AA45E0">
        <w:trPr>
          <w:cantSplit/>
          <w:trHeight w:val="5145"/>
          <w:jc w:val="center"/>
        </w:trPr>
        <w:tc>
          <w:tcPr>
            <w:tcW w:w="4845" w:type="dxa"/>
            <w:shd w:val="clear" w:color="auto" w:fill="auto"/>
          </w:tcPr>
          <w:p w14:paraId="56140303" w14:textId="77777777" w:rsidR="00FE1F40" w:rsidRPr="000E60CF" w:rsidRDefault="00FE1F40" w:rsidP="00AA45E0">
            <w:pPr>
              <w:jc w:val="both"/>
              <w:rPr>
                <w:rFonts w:ascii="Arial Narrow" w:hAnsi="Arial Narrow"/>
                <w:b/>
              </w:rPr>
            </w:pPr>
            <w:r w:rsidRPr="000E60CF">
              <w:rPr>
                <w:rFonts w:ascii="Arial Narrow" w:hAnsi="Arial Narrow"/>
              </w:rPr>
              <w:lastRenderedPageBreak/>
              <w:t>Dostęp klienta lokalnego rynku turystycznego - korzystne położenie względem innych, atrakcyjnych turystycznie miejscowości w powiecie i regionie</w:t>
            </w:r>
          </w:p>
          <w:p w14:paraId="58C4808D" w14:textId="77777777" w:rsidR="00FE1F40" w:rsidRPr="000E60CF" w:rsidRDefault="00FE1F40" w:rsidP="00AA45E0">
            <w:pPr>
              <w:jc w:val="both"/>
              <w:rPr>
                <w:rFonts w:ascii="Arial Narrow" w:hAnsi="Arial Narrow"/>
              </w:rPr>
            </w:pPr>
            <w:r w:rsidRPr="000E60CF">
              <w:rPr>
                <w:rFonts w:ascii="Arial Narrow" w:hAnsi="Arial Narrow"/>
              </w:rPr>
              <w:t>Plany szybkiego połączenia z autostradą A4 poprzez przebudowę tzw. sądeczanki na trasie Brzesko – Nowy Sącz (trasa uwzględniona w rządowym Programie Budowy Dróg Krajowych do 2023 r.).</w:t>
            </w:r>
          </w:p>
          <w:p w14:paraId="058481BC" w14:textId="77777777" w:rsidR="00FE1F40" w:rsidRPr="000E60CF" w:rsidRDefault="00FE1F40" w:rsidP="00AA45E0">
            <w:pPr>
              <w:jc w:val="both"/>
              <w:rPr>
                <w:rFonts w:ascii="Arial Narrow" w:hAnsi="Arial Narrow"/>
              </w:rPr>
            </w:pPr>
            <w:r w:rsidRPr="000E60CF">
              <w:rPr>
                <w:rFonts w:ascii="Arial Narrow" w:hAnsi="Arial Narrow"/>
              </w:rPr>
              <w:t>Współpraca podmiotów publicznych, prywatnych i społecznych na rzecz aktywizacji turystycznej i kulturalnej, np. w ramach partnerstw terytorialnych, lokalnych grup działania, lokalnych organizacji turystycznych.</w:t>
            </w:r>
          </w:p>
          <w:p w14:paraId="4771BAF9" w14:textId="77777777" w:rsidR="00FE1F40" w:rsidRPr="000E60CF" w:rsidRDefault="00FE1F40" w:rsidP="00AA45E0">
            <w:pPr>
              <w:jc w:val="both"/>
              <w:rPr>
                <w:rFonts w:ascii="Arial Narrow" w:hAnsi="Arial Narrow"/>
              </w:rPr>
            </w:pPr>
            <w:r w:rsidRPr="000E60CF">
              <w:rPr>
                <w:rFonts w:ascii="Arial Narrow" w:hAnsi="Arial Narrow"/>
              </w:rPr>
              <w:t>Zainteresowanie w społeczeństwie wypoczynkiem aktywnym, rekreacją i uprawianiem sportów.</w:t>
            </w:r>
          </w:p>
          <w:p w14:paraId="711ECCB4" w14:textId="77777777" w:rsidR="00FE1F40" w:rsidRPr="000E60CF" w:rsidRDefault="00FE1F40" w:rsidP="00AA45E0">
            <w:pPr>
              <w:jc w:val="both"/>
              <w:rPr>
                <w:rFonts w:ascii="Arial Narrow" w:hAnsi="Arial Narrow"/>
              </w:rPr>
            </w:pPr>
            <w:r w:rsidRPr="000E60CF">
              <w:rPr>
                <w:rFonts w:ascii="Arial Narrow" w:hAnsi="Arial Narrow"/>
              </w:rPr>
              <w:t>Popularyzacja turystyki weekendowej wśród Polaków.</w:t>
            </w:r>
          </w:p>
          <w:p w14:paraId="45A004F5" w14:textId="77777777" w:rsidR="00FE1F40" w:rsidRPr="000E60CF" w:rsidRDefault="00FE1F40" w:rsidP="00AA45E0">
            <w:pPr>
              <w:jc w:val="both"/>
              <w:rPr>
                <w:rFonts w:ascii="Arial Narrow" w:hAnsi="Arial Narrow"/>
              </w:rPr>
            </w:pPr>
            <w:r w:rsidRPr="000E60CF">
              <w:rPr>
                <w:rFonts w:ascii="Arial Narrow" w:hAnsi="Arial Narrow"/>
              </w:rPr>
              <w:t>Moda na lokalność, odrywanie tradycji, lokalnego dziedzictwa, produktów lokalnych.</w:t>
            </w:r>
          </w:p>
          <w:p w14:paraId="26EB16AD" w14:textId="77777777" w:rsidR="00FE1F40" w:rsidRPr="000E60CF" w:rsidRDefault="00FE1F40" w:rsidP="00AA45E0">
            <w:pPr>
              <w:jc w:val="both"/>
              <w:rPr>
                <w:rFonts w:ascii="Arial Narrow" w:hAnsi="Arial Narrow"/>
              </w:rPr>
            </w:pPr>
            <w:r w:rsidRPr="000E60CF">
              <w:rPr>
                <w:rFonts w:ascii="Arial Narrow" w:hAnsi="Arial Narrow"/>
              </w:rPr>
              <w:t>Wzrost zainteresowania i świadomości w zakresie naturalnych, ekologicznych produktów.</w:t>
            </w:r>
          </w:p>
          <w:p w14:paraId="23D1C55D" w14:textId="77777777" w:rsidR="00FE1F40" w:rsidRPr="000E60CF" w:rsidRDefault="00FE1F40" w:rsidP="00AA45E0">
            <w:pPr>
              <w:jc w:val="both"/>
              <w:rPr>
                <w:rFonts w:ascii="Arial Narrow" w:hAnsi="Arial Narrow"/>
              </w:rPr>
            </w:pPr>
            <w:r w:rsidRPr="000E60CF">
              <w:rPr>
                <w:rFonts w:ascii="Arial Narrow" w:hAnsi="Arial Narrow"/>
              </w:rPr>
              <w:t>Moda na turystykę 3xE – połączenie rozrywki, doświadczenia i edukacji.</w:t>
            </w:r>
          </w:p>
          <w:p w14:paraId="418D4472" w14:textId="77777777" w:rsidR="00FE1F40" w:rsidRPr="000E60CF" w:rsidRDefault="00FE1F40" w:rsidP="00AA45E0">
            <w:pPr>
              <w:jc w:val="both"/>
              <w:rPr>
                <w:rFonts w:ascii="Arial Narrow" w:hAnsi="Arial Narrow"/>
                <w:b/>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tc>
        <w:tc>
          <w:tcPr>
            <w:tcW w:w="700" w:type="dxa"/>
            <w:shd w:val="clear" w:color="auto" w:fill="auto"/>
            <w:textDirection w:val="btLr"/>
          </w:tcPr>
          <w:p w14:paraId="6387A413" w14:textId="77777777" w:rsidR="00FE1F40" w:rsidRPr="000E60CF" w:rsidRDefault="00FE1F40" w:rsidP="00AA45E0">
            <w:pPr>
              <w:ind w:left="113" w:right="113"/>
              <w:jc w:val="right"/>
              <w:rPr>
                <w:rFonts w:ascii="Arial Narrow" w:hAnsi="Arial Narrow"/>
                <w:b/>
              </w:rPr>
            </w:pPr>
            <w:r w:rsidRPr="000E60CF">
              <w:rPr>
                <w:rFonts w:ascii="Arial Narrow" w:hAnsi="Arial Narrow"/>
              </w:rPr>
              <w:t>Wnioski z warsztatów strategicznych</w:t>
            </w:r>
          </w:p>
        </w:tc>
        <w:tc>
          <w:tcPr>
            <w:tcW w:w="4257" w:type="dxa"/>
            <w:shd w:val="clear" w:color="auto" w:fill="auto"/>
          </w:tcPr>
          <w:p w14:paraId="65AE64DC" w14:textId="77777777" w:rsidR="00FE1F40" w:rsidRPr="000E60CF" w:rsidRDefault="00FE1F40" w:rsidP="00AA45E0">
            <w:pPr>
              <w:jc w:val="both"/>
              <w:rPr>
                <w:rFonts w:ascii="Arial Narrow" w:hAnsi="Arial Narrow"/>
              </w:rPr>
            </w:pPr>
            <w:r w:rsidRPr="000E60CF">
              <w:rPr>
                <w:rFonts w:ascii="Arial Narrow" w:hAnsi="Arial Narrow"/>
              </w:rPr>
              <w:t>Tworzenie i rozwój konkurencyjnych regionów turystycznych opartych na podobnych walorach przyrodniczych (obszary leśne, podgórskie) i turystyce aktywnej w najbliższym otoczeniu LGD (Krynica Górska, Muszyna, Szczawnica, Krościenko nad Dunajcem).</w:t>
            </w:r>
          </w:p>
          <w:p w14:paraId="6E6044B4" w14:textId="77777777" w:rsidR="00FE1F40" w:rsidRPr="000E60CF" w:rsidRDefault="00FE1F40" w:rsidP="00AA45E0">
            <w:pPr>
              <w:jc w:val="both"/>
              <w:rPr>
                <w:rFonts w:ascii="Arial Narrow" w:hAnsi="Arial Narrow"/>
                <w:b/>
              </w:rPr>
            </w:pPr>
            <w:r w:rsidRPr="000E60CF">
              <w:rPr>
                <w:rFonts w:ascii="Arial Narrow" w:hAnsi="Arial Narrow"/>
              </w:rPr>
              <w:t xml:space="preserve">Postępująca </w:t>
            </w:r>
            <w:proofErr w:type="spellStart"/>
            <w:r w:rsidRPr="000E60CF">
              <w:rPr>
                <w:rFonts w:ascii="Arial Narrow" w:hAnsi="Arial Narrow"/>
              </w:rPr>
              <w:t>suburbanizacja</w:t>
            </w:r>
            <w:proofErr w:type="spellEnd"/>
            <w:r w:rsidRPr="000E60CF">
              <w:rPr>
                <w:rFonts w:ascii="Arial Narrow" w:hAnsi="Arial Narrow"/>
              </w:rPr>
              <w:t xml:space="preserve"> – przeznaczania kolejnych działek rolnych na zabudowę jednorodzinną.</w:t>
            </w:r>
          </w:p>
          <w:p w14:paraId="7E38A619" w14:textId="77777777" w:rsidR="00FE1F40" w:rsidRPr="000E60CF" w:rsidRDefault="00FE1F40" w:rsidP="00AA45E0">
            <w:pPr>
              <w:jc w:val="both"/>
              <w:rPr>
                <w:rFonts w:ascii="Arial Narrow" w:hAnsi="Arial Narrow"/>
              </w:rPr>
            </w:pPr>
            <w:r w:rsidRPr="000E60CF">
              <w:rPr>
                <w:rFonts w:ascii="Arial Narrow" w:hAnsi="Arial Narrow"/>
              </w:rPr>
              <w:t>Słaba rozpoznawalność gmin z ternu LGD jako ośrodka turystycznego w skali regionalnej i ponadregionalnej, lub postrzeganie jej jako mało atrakcyjnej.</w:t>
            </w:r>
          </w:p>
        </w:tc>
        <w:tc>
          <w:tcPr>
            <w:tcW w:w="654" w:type="dxa"/>
            <w:shd w:val="clear" w:color="auto" w:fill="auto"/>
            <w:textDirection w:val="btLr"/>
          </w:tcPr>
          <w:p w14:paraId="5E48FEE6" w14:textId="77777777" w:rsidR="00FE1F40" w:rsidRPr="000E60CF" w:rsidRDefault="00FE1F40" w:rsidP="00AA45E0">
            <w:pPr>
              <w:ind w:left="113" w:right="113"/>
              <w:jc w:val="right"/>
              <w:rPr>
                <w:rFonts w:ascii="Arial Narrow" w:hAnsi="Arial Narrow"/>
                <w:b/>
              </w:rPr>
            </w:pPr>
            <w:r w:rsidRPr="000E60CF">
              <w:rPr>
                <w:rFonts w:ascii="Arial Narrow" w:hAnsi="Arial Narrow"/>
              </w:rPr>
              <w:t>Wnioski z warsztatów strategicznych</w:t>
            </w:r>
          </w:p>
        </w:tc>
      </w:tr>
      <w:tr w:rsidR="00FE1F40" w:rsidRPr="000E60CF" w14:paraId="1430C8FD" w14:textId="77777777" w:rsidTr="00AA45E0">
        <w:trPr>
          <w:cantSplit/>
          <w:trHeight w:val="70"/>
          <w:jc w:val="center"/>
        </w:trPr>
        <w:tc>
          <w:tcPr>
            <w:tcW w:w="10456" w:type="dxa"/>
            <w:gridSpan w:val="4"/>
            <w:shd w:val="clear" w:color="auto" w:fill="525252" w:themeFill="accent3" w:themeFillShade="80"/>
          </w:tcPr>
          <w:p w14:paraId="6DA9550D" w14:textId="77777777" w:rsidR="00FE1F40" w:rsidRPr="000E60CF" w:rsidRDefault="00FE1F40" w:rsidP="00AA45E0">
            <w:pPr>
              <w:ind w:left="113" w:right="113"/>
              <w:jc w:val="center"/>
              <w:rPr>
                <w:rFonts w:ascii="Arial Narrow" w:hAnsi="Arial Narrow"/>
              </w:rPr>
            </w:pPr>
            <w:r w:rsidRPr="000E60CF">
              <w:rPr>
                <w:rFonts w:ascii="Arial Narrow" w:hAnsi="Arial Narrow"/>
                <w:b/>
                <w:color w:val="FFFFFF" w:themeColor="background1"/>
              </w:rPr>
              <w:t>Rozwój wysokiej jakości przestrzeni do życia</w:t>
            </w:r>
          </w:p>
        </w:tc>
      </w:tr>
      <w:tr w:rsidR="00FE1F40" w:rsidRPr="000E60CF" w14:paraId="5E96E271" w14:textId="77777777" w:rsidTr="00AA45E0">
        <w:trPr>
          <w:cantSplit/>
          <w:trHeight w:val="70"/>
          <w:jc w:val="center"/>
        </w:trPr>
        <w:tc>
          <w:tcPr>
            <w:tcW w:w="4845" w:type="dxa"/>
            <w:shd w:val="clear" w:color="auto" w:fill="DBDBDB" w:themeFill="accent3" w:themeFillTint="66"/>
          </w:tcPr>
          <w:p w14:paraId="2E9B4FBA" w14:textId="77777777" w:rsidR="00FE1F40" w:rsidRPr="000E60CF" w:rsidRDefault="00FE1F40" w:rsidP="00AA45E0">
            <w:pPr>
              <w:jc w:val="center"/>
              <w:rPr>
                <w:rFonts w:ascii="Arial Narrow" w:hAnsi="Arial Narrow"/>
                <w:b/>
              </w:rPr>
            </w:pPr>
            <w:r w:rsidRPr="000E60CF">
              <w:rPr>
                <w:rFonts w:ascii="Arial Narrow" w:hAnsi="Arial Narrow"/>
                <w:b/>
              </w:rPr>
              <w:t>Mocne strony</w:t>
            </w:r>
          </w:p>
        </w:tc>
        <w:tc>
          <w:tcPr>
            <w:tcW w:w="700" w:type="dxa"/>
            <w:shd w:val="clear" w:color="auto" w:fill="DBDBDB" w:themeFill="accent3" w:themeFillTint="66"/>
            <w:textDirection w:val="btLr"/>
          </w:tcPr>
          <w:p w14:paraId="174E66CB" w14:textId="77777777" w:rsidR="00FE1F40" w:rsidRPr="000E60CF" w:rsidRDefault="00FE1F40" w:rsidP="00AA45E0">
            <w:pPr>
              <w:ind w:left="113" w:right="113"/>
              <w:jc w:val="center"/>
              <w:rPr>
                <w:rFonts w:ascii="Arial Narrow" w:hAnsi="Arial Narrow"/>
                <w:b/>
              </w:rPr>
            </w:pPr>
          </w:p>
        </w:tc>
        <w:tc>
          <w:tcPr>
            <w:tcW w:w="4257" w:type="dxa"/>
            <w:shd w:val="clear" w:color="auto" w:fill="DBDBDB" w:themeFill="accent3" w:themeFillTint="66"/>
          </w:tcPr>
          <w:p w14:paraId="35CA3384" w14:textId="77777777" w:rsidR="00FE1F40" w:rsidRPr="000E60CF" w:rsidRDefault="00FE1F40" w:rsidP="00AA45E0">
            <w:pPr>
              <w:jc w:val="center"/>
              <w:rPr>
                <w:rFonts w:ascii="Arial Narrow" w:hAnsi="Arial Narrow"/>
                <w:b/>
              </w:rPr>
            </w:pPr>
            <w:r w:rsidRPr="000E60CF">
              <w:rPr>
                <w:rFonts w:ascii="Arial Narrow" w:hAnsi="Arial Narrow"/>
                <w:b/>
              </w:rPr>
              <w:t>Słabe strony</w:t>
            </w:r>
          </w:p>
        </w:tc>
        <w:tc>
          <w:tcPr>
            <w:tcW w:w="654" w:type="dxa"/>
            <w:shd w:val="clear" w:color="auto" w:fill="DBDBDB" w:themeFill="accent3" w:themeFillTint="66"/>
            <w:textDirection w:val="btLr"/>
          </w:tcPr>
          <w:p w14:paraId="29272A84" w14:textId="77777777" w:rsidR="00FE1F40" w:rsidRPr="000E60CF" w:rsidRDefault="00FE1F40" w:rsidP="00AA45E0">
            <w:pPr>
              <w:ind w:left="113" w:right="113"/>
              <w:jc w:val="right"/>
              <w:rPr>
                <w:rFonts w:ascii="Arial Narrow" w:hAnsi="Arial Narrow"/>
              </w:rPr>
            </w:pPr>
          </w:p>
        </w:tc>
      </w:tr>
      <w:tr w:rsidR="00FE1F40" w:rsidRPr="000E60CF" w14:paraId="76A5B449" w14:textId="77777777" w:rsidTr="00AA45E0">
        <w:trPr>
          <w:cantSplit/>
          <w:trHeight w:val="70"/>
          <w:jc w:val="center"/>
        </w:trPr>
        <w:tc>
          <w:tcPr>
            <w:tcW w:w="4845" w:type="dxa"/>
            <w:shd w:val="clear" w:color="auto" w:fill="auto"/>
          </w:tcPr>
          <w:p w14:paraId="5D79F6BF" w14:textId="77777777" w:rsidR="00FE1F40" w:rsidRPr="000E60CF" w:rsidRDefault="00FE1F40" w:rsidP="00AA45E0">
            <w:pPr>
              <w:jc w:val="both"/>
              <w:rPr>
                <w:rFonts w:ascii="Arial Narrow" w:hAnsi="Arial Narrow"/>
              </w:rPr>
            </w:pPr>
            <w:r w:rsidRPr="000E60CF">
              <w:rPr>
                <w:rFonts w:ascii="Arial Narrow" w:hAnsi="Arial Narrow"/>
              </w:rPr>
              <w:t>Bardzo korzystne wskaźniki demograficzne – dodatni przyrost naturalny i migracyjny.</w:t>
            </w:r>
          </w:p>
        </w:tc>
        <w:tc>
          <w:tcPr>
            <w:tcW w:w="700" w:type="dxa"/>
            <w:shd w:val="clear" w:color="auto" w:fill="auto"/>
            <w:textDirection w:val="btLr"/>
          </w:tcPr>
          <w:p w14:paraId="2AFBD43B" w14:textId="77777777" w:rsidR="00FE1F40" w:rsidRPr="000E60CF" w:rsidRDefault="00FE1F40" w:rsidP="00AA45E0">
            <w:pPr>
              <w:ind w:left="113" w:right="113"/>
              <w:jc w:val="right"/>
              <w:rPr>
                <w:rFonts w:ascii="Arial Narrow" w:hAnsi="Arial Narrow"/>
              </w:rPr>
            </w:pPr>
            <w:r w:rsidRPr="000E60CF">
              <w:rPr>
                <w:rFonts w:ascii="Arial Narrow" w:hAnsi="Arial Narrow"/>
              </w:rPr>
              <w:t>Rozdział 1 diagnozy</w:t>
            </w:r>
          </w:p>
        </w:tc>
        <w:tc>
          <w:tcPr>
            <w:tcW w:w="4257" w:type="dxa"/>
            <w:shd w:val="clear" w:color="auto" w:fill="auto"/>
          </w:tcPr>
          <w:p w14:paraId="1A09A2EB" w14:textId="77777777" w:rsidR="00FE1F40" w:rsidRPr="000E60CF" w:rsidRDefault="00FE1F40" w:rsidP="00AA45E0">
            <w:pPr>
              <w:keepNext/>
              <w:keepLines/>
              <w:jc w:val="both"/>
              <w:rPr>
                <w:rFonts w:ascii="Arial Narrow" w:hAnsi="Arial Narrow"/>
              </w:rPr>
            </w:pPr>
            <w:r w:rsidRPr="000E60CF">
              <w:rPr>
                <w:rFonts w:ascii="Arial Narrow" w:hAnsi="Arial Narrow"/>
              </w:rPr>
              <w:t xml:space="preserve">Stosunkowo wysoki odsetek ludności korzystającej z pomocy społecznej (15,8%) – średnia dla kraju (8,3%), dla województwa (6,3%). </w:t>
            </w:r>
          </w:p>
          <w:p w14:paraId="7EBBCFC8" w14:textId="77777777" w:rsidR="00FE1F40" w:rsidRPr="000E60CF" w:rsidRDefault="00FE1F40" w:rsidP="00AA45E0">
            <w:pPr>
              <w:jc w:val="both"/>
              <w:rPr>
                <w:rFonts w:ascii="Arial Narrow" w:hAnsi="Arial Narrow"/>
              </w:rPr>
            </w:pPr>
            <w:r w:rsidRPr="000E60CF">
              <w:rPr>
                <w:rFonts w:ascii="Arial Narrow" w:hAnsi="Arial Narrow"/>
              </w:rPr>
              <w:t>Relatywnie wysoka liczba rodzin otrzymujących zasiłki rodzinne.</w:t>
            </w:r>
          </w:p>
        </w:tc>
        <w:tc>
          <w:tcPr>
            <w:tcW w:w="654" w:type="dxa"/>
            <w:shd w:val="clear" w:color="auto" w:fill="auto"/>
            <w:textDirection w:val="btLr"/>
          </w:tcPr>
          <w:p w14:paraId="061F37A0" w14:textId="77777777" w:rsidR="00FE1F40" w:rsidRPr="000E60CF" w:rsidRDefault="00FE1F40" w:rsidP="00AA45E0">
            <w:pPr>
              <w:ind w:left="113" w:right="113"/>
              <w:jc w:val="right"/>
              <w:rPr>
                <w:rFonts w:ascii="Arial Narrow" w:hAnsi="Arial Narrow"/>
              </w:rPr>
            </w:pPr>
            <w:r w:rsidRPr="000E60CF">
              <w:rPr>
                <w:rFonts w:ascii="Arial Narrow" w:hAnsi="Arial Narrow"/>
              </w:rPr>
              <w:t>Rozdział 6 diagnozy</w:t>
            </w:r>
          </w:p>
        </w:tc>
      </w:tr>
      <w:tr w:rsidR="00FE1F40" w:rsidRPr="000E60CF" w14:paraId="38E6661E" w14:textId="77777777" w:rsidTr="00AA45E0">
        <w:trPr>
          <w:cantSplit/>
          <w:trHeight w:val="1273"/>
          <w:jc w:val="center"/>
        </w:trPr>
        <w:tc>
          <w:tcPr>
            <w:tcW w:w="4845" w:type="dxa"/>
            <w:shd w:val="clear" w:color="auto" w:fill="auto"/>
          </w:tcPr>
          <w:p w14:paraId="4E025971" w14:textId="77777777" w:rsidR="00FE1F40" w:rsidRPr="000E60CF" w:rsidRDefault="00FE1F40" w:rsidP="00AA45E0">
            <w:pPr>
              <w:keepNext/>
              <w:keepLines/>
              <w:jc w:val="both"/>
              <w:rPr>
                <w:rFonts w:ascii="Arial Narrow" w:hAnsi="Arial Narrow"/>
              </w:rPr>
            </w:pPr>
            <w:r w:rsidRPr="000E60CF">
              <w:rPr>
                <w:rFonts w:ascii="Arial Narrow" w:hAnsi="Arial Narrow"/>
              </w:rPr>
              <w:t>Stosunkowo duża aktywność mieszkańców i wysoki poziom odpowiedzialności za sprawy lokalne – wyraźnie wyższy poziom frekwencji w wyborach do wszystkich szczebli administracji samorządowej i państwowej niż średnia krajowa i wojewódzka.</w:t>
            </w:r>
          </w:p>
        </w:tc>
        <w:tc>
          <w:tcPr>
            <w:tcW w:w="700" w:type="dxa"/>
            <w:shd w:val="clear" w:color="auto" w:fill="auto"/>
            <w:textDirection w:val="btLr"/>
          </w:tcPr>
          <w:p w14:paraId="4B2E26E1" w14:textId="77777777" w:rsidR="00FE1F40" w:rsidRPr="000E60CF" w:rsidRDefault="00FE1F40" w:rsidP="00AA45E0">
            <w:pPr>
              <w:keepNext/>
              <w:keepLines/>
              <w:ind w:left="113" w:right="113"/>
              <w:rPr>
                <w:rFonts w:ascii="Arial Narrow" w:hAnsi="Arial Narrow"/>
                <w:b/>
              </w:rPr>
            </w:pPr>
            <w:r w:rsidRPr="000E60CF">
              <w:rPr>
                <w:rFonts w:ascii="Arial Narrow" w:hAnsi="Arial Narrow"/>
              </w:rPr>
              <w:t>Rozdział 5 diagnozy</w:t>
            </w:r>
          </w:p>
        </w:tc>
        <w:tc>
          <w:tcPr>
            <w:tcW w:w="4257" w:type="dxa"/>
            <w:shd w:val="clear" w:color="auto" w:fill="auto"/>
          </w:tcPr>
          <w:p w14:paraId="449675FB" w14:textId="77777777" w:rsidR="00FE1F40" w:rsidRPr="000E60CF" w:rsidRDefault="00FE1F40" w:rsidP="00AA45E0">
            <w:pPr>
              <w:keepNext/>
              <w:keepLines/>
              <w:jc w:val="both"/>
              <w:rPr>
                <w:rFonts w:ascii="Arial Narrow" w:hAnsi="Arial Narrow"/>
              </w:rPr>
            </w:pPr>
            <w:r w:rsidRPr="000E60CF">
              <w:rPr>
                <w:rFonts w:ascii="Arial Narrow" w:hAnsi="Arial Narrow"/>
              </w:rPr>
              <w:t>Wzrost liczby mieszkańców kierowanych na leczenie ze względu na problemy alkoholowe. Słaba dostępność do infrastruktury służby zdrowia – liczba mieszkańców na jedną przychodnię – 2964 (w Polsce – 1919, w województwie – 1932, w powiecie 2380).</w:t>
            </w:r>
          </w:p>
          <w:p w14:paraId="5B38FBC5" w14:textId="77777777" w:rsidR="00FE1F40" w:rsidRPr="000E60CF" w:rsidRDefault="00FE1F40" w:rsidP="00AA45E0">
            <w:pPr>
              <w:keepNext/>
              <w:keepLines/>
              <w:jc w:val="both"/>
              <w:rPr>
                <w:rFonts w:ascii="Arial Narrow" w:hAnsi="Arial Narrow"/>
              </w:rPr>
            </w:pPr>
          </w:p>
        </w:tc>
        <w:tc>
          <w:tcPr>
            <w:tcW w:w="654" w:type="dxa"/>
            <w:shd w:val="clear" w:color="auto" w:fill="auto"/>
            <w:textDirection w:val="btLr"/>
          </w:tcPr>
          <w:p w14:paraId="341F8963" w14:textId="77777777" w:rsidR="00FE1F40" w:rsidRPr="000E60CF" w:rsidRDefault="00FE1F40" w:rsidP="00AA45E0">
            <w:pPr>
              <w:keepNext/>
              <w:keepLines/>
              <w:ind w:left="113" w:right="113"/>
              <w:jc w:val="right"/>
              <w:rPr>
                <w:rFonts w:ascii="Arial Narrow" w:hAnsi="Arial Narrow"/>
              </w:rPr>
            </w:pPr>
            <w:r w:rsidRPr="000E60CF">
              <w:rPr>
                <w:rFonts w:ascii="Arial Narrow" w:hAnsi="Arial Narrow"/>
              </w:rPr>
              <w:t>Rozdział 6 diagnozy</w:t>
            </w:r>
          </w:p>
        </w:tc>
      </w:tr>
      <w:tr w:rsidR="00FE1F40" w:rsidRPr="000E60CF" w14:paraId="1683C6E6" w14:textId="77777777" w:rsidTr="00AA45E0">
        <w:trPr>
          <w:cantSplit/>
          <w:trHeight w:val="1134"/>
          <w:jc w:val="center"/>
        </w:trPr>
        <w:tc>
          <w:tcPr>
            <w:tcW w:w="4845" w:type="dxa"/>
            <w:shd w:val="clear" w:color="auto" w:fill="auto"/>
          </w:tcPr>
          <w:p w14:paraId="79E86DDA" w14:textId="77777777" w:rsidR="00FE1F40" w:rsidRPr="000E60CF" w:rsidRDefault="00FE1F40" w:rsidP="00AA45E0">
            <w:pPr>
              <w:keepNext/>
              <w:keepLines/>
              <w:jc w:val="both"/>
              <w:rPr>
                <w:rFonts w:ascii="Arial Narrow" w:hAnsi="Arial Narrow"/>
              </w:rPr>
            </w:pPr>
            <w:r w:rsidRPr="000E60CF">
              <w:rPr>
                <w:rFonts w:ascii="Arial Narrow" w:hAnsi="Arial Narrow"/>
              </w:rPr>
              <w:t>Bardzo wysoka ocena obszaru LGD jako miejsca do życia (da zamieszkiwania) – uznało tak ponad 75% respondentów.</w:t>
            </w:r>
          </w:p>
        </w:tc>
        <w:tc>
          <w:tcPr>
            <w:tcW w:w="700" w:type="dxa"/>
            <w:shd w:val="clear" w:color="auto" w:fill="auto"/>
            <w:textDirection w:val="btLr"/>
          </w:tcPr>
          <w:p w14:paraId="64CB460B" w14:textId="77777777" w:rsidR="00FE1F40" w:rsidRPr="000E60CF" w:rsidRDefault="00FE1F40" w:rsidP="00AA45E0">
            <w:pPr>
              <w:keepNext/>
              <w:keepLines/>
              <w:ind w:left="113" w:right="113"/>
              <w:jc w:val="right"/>
              <w:rPr>
                <w:rFonts w:ascii="Arial Narrow" w:hAnsi="Arial Narrow"/>
              </w:rPr>
            </w:pPr>
            <w:r w:rsidRPr="000E60CF">
              <w:rPr>
                <w:rFonts w:ascii="Arial Narrow" w:hAnsi="Arial Narrow"/>
              </w:rPr>
              <w:t>Wnioski z badań</w:t>
            </w:r>
          </w:p>
        </w:tc>
        <w:tc>
          <w:tcPr>
            <w:tcW w:w="4257" w:type="dxa"/>
            <w:vMerge w:val="restart"/>
            <w:shd w:val="clear" w:color="auto" w:fill="auto"/>
          </w:tcPr>
          <w:p w14:paraId="654B0BF4" w14:textId="77777777" w:rsidR="00FE1F40" w:rsidRDefault="00FE1F40" w:rsidP="00AA45E0">
            <w:pPr>
              <w:keepNext/>
              <w:keepLines/>
              <w:jc w:val="both"/>
              <w:rPr>
                <w:rFonts w:ascii="Arial Narrow" w:hAnsi="Arial Narrow"/>
              </w:rPr>
            </w:pPr>
            <w:r w:rsidRPr="000E60CF">
              <w:rPr>
                <w:rFonts w:ascii="Arial Narrow" w:hAnsi="Arial Narrow"/>
              </w:rPr>
              <w:t>Niezadawalająca liczba miejsc spotkań oraz atrakcyjnych przestrzeni sprzyjających budowaniu relacji i więzi społecznych (w szczególności między pokoleniowych oraz wśród grup rówieśniczych)</w:t>
            </w:r>
          </w:p>
          <w:p w14:paraId="0B16886E" w14:textId="77777777" w:rsidR="00FE1F40" w:rsidRDefault="00FE1F40" w:rsidP="00AA45E0">
            <w:pPr>
              <w:keepNext/>
              <w:keepLines/>
              <w:jc w:val="both"/>
              <w:rPr>
                <w:rFonts w:ascii="Arial Narrow" w:hAnsi="Arial Narrow"/>
              </w:rPr>
            </w:pPr>
          </w:p>
          <w:p w14:paraId="7A7C8FF1" w14:textId="77777777" w:rsidR="00FE1F40" w:rsidRPr="000E60CF" w:rsidRDefault="00FE1F40" w:rsidP="00AA45E0">
            <w:pPr>
              <w:keepNext/>
              <w:keepLines/>
              <w:jc w:val="both"/>
              <w:rPr>
                <w:rFonts w:ascii="Arial Narrow" w:hAnsi="Arial Narrow"/>
              </w:rPr>
            </w:pPr>
            <w:r>
              <w:rPr>
                <w:rFonts w:ascii="Arial Narrow" w:hAnsi="Arial Narrow"/>
              </w:rPr>
              <w:t>Mała rozpoznawalność LGD „KORONA SĄDECKA”</w:t>
            </w:r>
          </w:p>
        </w:tc>
        <w:tc>
          <w:tcPr>
            <w:tcW w:w="654" w:type="dxa"/>
            <w:vMerge w:val="restart"/>
            <w:shd w:val="clear" w:color="auto" w:fill="auto"/>
            <w:textDirection w:val="btLr"/>
          </w:tcPr>
          <w:p w14:paraId="17AB024B" w14:textId="77777777" w:rsidR="00FE1F40" w:rsidRPr="000E60CF" w:rsidRDefault="00FE1F40" w:rsidP="00AA45E0">
            <w:pPr>
              <w:keepNext/>
              <w:keepLines/>
              <w:ind w:left="113" w:right="113"/>
              <w:jc w:val="right"/>
              <w:rPr>
                <w:rFonts w:ascii="Arial Narrow" w:hAnsi="Arial Narrow"/>
                <w:b/>
              </w:rPr>
            </w:pPr>
            <w:r w:rsidRPr="000E60CF">
              <w:rPr>
                <w:rFonts w:ascii="Arial Narrow" w:hAnsi="Arial Narrow"/>
              </w:rPr>
              <w:t>Rozdział  2</w:t>
            </w:r>
            <w:r>
              <w:rPr>
                <w:rFonts w:ascii="Arial Narrow" w:hAnsi="Arial Narrow"/>
              </w:rPr>
              <w:t>, 5</w:t>
            </w:r>
            <w:r w:rsidRPr="000E60CF">
              <w:rPr>
                <w:rFonts w:ascii="Arial Narrow" w:hAnsi="Arial Narrow"/>
              </w:rPr>
              <w:t xml:space="preserve"> diagnozy / wnioski z warsztatów strategicznych </w:t>
            </w:r>
          </w:p>
        </w:tc>
      </w:tr>
      <w:tr w:rsidR="00FE1F40" w:rsidRPr="000E60CF" w14:paraId="3DFC3E63" w14:textId="77777777" w:rsidTr="00AA45E0">
        <w:trPr>
          <w:cantSplit/>
          <w:trHeight w:val="2169"/>
          <w:jc w:val="center"/>
        </w:trPr>
        <w:tc>
          <w:tcPr>
            <w:tcW w:w="4845" w:type="dxa"/>
            <w:shd w:val="clear" w:color="auto" w:fill="auto"/>
          </w:tcPr>
          <w:p w14:paraId="58721C40" w14:textId="77777777" w:rsidR="00FE1F40" w:rsidRPr="000E60CF" w:rsidRDefault="00FE1F40" w:rsidP="00AA45E0">
            <w:pPr>
              <w:keepNext/>
              <w:keepLines/>
              <w:jc w:val="both"/>
              <w:rPr>
                <w:rFonts w:ascii="Arial Narrow" w:hAnsi="Arial Narrow"/>
              </w:rPr>
            </w:pPr>
            <w:r w:rsidRPr="000E60CF">
              <w:rPr>
                <w:rFonts w:ascii="Arial Narrow" w:hAnsi="Arial Narrow"/>
              </w:rPr>
              <w:t xml:space="preserve">Gmina Chełmiec czwarty raz z rzędu znalazła się na pierwszym miejscu w Polsce w kategorii „Najlepsza gmina wiejska 2014 roku”, oraz na trzecim miejscu w skali kraju w rankingu energii odnawialnej. </w:t>
            </w:r>
          </w:p>
          <w:p w14:paraId="2CB2B405" w14:textId="77777777" w:rsidR="00FE1F40" w:rsidRPr="000E60CF" w:rsidRDefault="00FE1F40" w:rsidP="00AA45E0">
            <w:pPr>
              <w:keepNext/>
              <w:keepLines/>
              <w:jc w:val="both"/>
              <w:rPr>
                <w:rFonts w:ascii="Arial Narrow" w:hAnsi="Arial Narrow"/>
              </w:rPr>
            </w:pPr>
            <w:r w:rsidRPr="000E60CF">
              <w:rPr>
                <w:rFonts w:ascii="Arial Narrow" w:hAnsi="Arial Narrow"/>
              </w:rPr>
              <w:t>Na przestrzeni lat 2009-2013 liczba przedszkoli na terenie LGD wzrosła o połowę (z 12 do 18).</w:t>
            </w:r>
          </w:p>
        </w:tc>
        <w:tc>
          <w:tcPr>
            <w:tcW w:w="700" w:type="dxa"/>
            <w:shd w:val="clear" w:color="auto" w:fill="auto"/>
            <w:textDirection w:val="btLr"/>
          </w:tcPr>
          <w:p w14:paraId="5EB0E574" w14:textId="77777777" w:rsidR="00FE1F40" w:rsidRPr="000E60CF" w:rsidRDefault="00FE1F40" w:rsidP="00AA45E0">
            <w:pPr>
              <w:keepNext/>
              <w:keepLines/>
              <w:ind w:left="113" w:right="113"/>
              <w:jc w:val="right"/>
              <w:rPr>
                <w:rFonts w:ascii="Arial Narrow" w:hAnsi="Arial Narrow"/>
                <w:b/>
              </w:rPr>
            </w:pPr>
            <w:r w:rsidRPr="000E60CF">
              <w:rPr>
                <w:rFonts w:ascii="Arial Narrow" w:hAnsi="Arial Narrow"/>
              </w:rPr>
              <w:t>Wnioski z warsztatów strategicznych</w:t>
            </w:r>
          </w:p>
        </w:tc>
        <w:tc>
          <w:tcPr>
            <w:tcW w:w="4257" w:type="dxa"/>
            <w:vMerge/>
            <w:shd w:val="clear" w:color="auto" w:fill="auto"/>
          </w:tcPr>
          <w:p w14:paraId="435F717A" w14:textId="77777777" w:rsidR="00FE1F40" w:rsidRPr="000E60CF" w:rsidRDefault="00FE1F40" w:rsidP="00AA45E0">
            <w:pPr>
              <w:keepNext/>
              <w:keepLines/>
              <w:jc w:val="both"/>
              <w:rPr>
                <w:rFonts w:ascii="Arial Narrow" w:hAnsi="Arial Narrow"/>
                <w:b/>
              </w:rPr>
            </w:pPr>
          </w:p>
        </w:tc>
        <w:tc>
          <w:tcPr>
            <w:tcW w:w="654" w:type="dxa"/>
            <w:vMerge/>
            <w:shd w:val="clear" w:color="auto" w:fill="auto"/>
            <w:textDirection w:val="btLr"/>
          </w:tcPr>
          <w:p w14:paraId="3F912319" w14:textId="77777777" w:rsidR="00FE1F40" w:rsidRPr="000E60CF" w:rsidRDefault="00FE1F40" w:rsidP="00AA45E0">
            <w:pPr>
              <w:keepNext/>
              <w:keepLines/>
              <w:ind w:left="113" w:right="113"/>
              <w:jc w:val="right"/>
              <w:rPr>
                <w:rFonts w:ascii="Arial Narrow" w:hAnsi="Arial Narrow"/>
                <w:b/>
              </w:rPr>
            </w:pPr>
          </w:p>
        </w:tc>
      </w:tr>
      <w:tr w:rsidR="00FE1F40" w:rsidRPr="000E60CF" w14:paraId="1B921A62" w14:textId="77777777" w:rsidTr="00AA45E0">
        <w:trPr>
          <w:cantSplit/>
          <w:trHeight w:val="224"/>
          <w:jc w:val="center"/>
        </w:trPr>
        <w:tc>
          <w:tcPr>
            <w:tcW w:w="4845" w:type="dxa"/>
            <w:tcBorders>
              <w:bottom w:val="single" w:sz="4" w:space="0" w:color="auto"/>
            </w:tcBorders>
            <w:shd w:val="clear" w:color="auto" w:fill="DBDBDB" w:themeFill="accent3" w:themeFillTint="66"/>
          </w:tcPr>
          <w:p w14:paraId="10F240AC" w14:textId="77777777" w:rsidR="00FE1F40" w:rsidRPr="000E60CF" w:rsidRDefault="00FE1F40" w:rsidP="00AA45E0">
            <w:pPr>
              <w:jc w:val="center"/>
              <w:rPr>
                <w:rFonts w:ascii="Arial Narrow" w:hAnsi="Arial Narrow"/>
                <w:b/>
              </w:rPr>
            </w:pPr>
            <w:r w:rsidRPr="000E60CF">
              <w:rPr>
                <w:rFonts w:ascii="Arial Narrow" w:hAnsi="Arial Narrow"/>
                <w:b/>
              </w:rPr>
              <w:t>Szanse</w:t>
            </w:r>
          </w:p>
        </w:tc>
        <w:tc>
          <w:tcPr>
            <w:tcW w:w="700" w:type="dxa"/>
            <w:tcBorders>
              <w:bottom w:val="single" w:sz="4" w:space="0" w:color="auto"/>
            </w:tcBorders>
            <w:shd w:val="clear" w:color="auto" w:fill="DBDBDB" w:themeFill="accent3" w:themeFillTint="66"/>
            <w:textDirection w:val="btLr"/>
          </w:tcPr>
          <w:p w14:paraId="38A7BEC2" w14:textId="77777777" w:rsidR="00FE1F40" w:rsidRPr="000E60CF" w:rsidRDefault="00FE1F40" w:rsidP="00AA45E0">
            <w:pPr>
              <w:ind w:left="113" w:right="113"/>
              <w:jc w:val="center"/>
              <w:rPr>
                <w:rFonts w:ascii="Arial Narrow" w:hAnsi="Arial Narrow"/>
                <w:b/>
              </w:rPr>
            </w:pPr>
          </w:p>
        </w:tc>
        <w:tc>
          <w:tcPr>
            <w:tcW w:w="4257" w:type="dxa"/>
            <w:tcBorders>
              <w:bottom w:val="single" w:sz="4" w:space="0" w:color="auto"/>
            </w:tcBorders>
            <w:shd w:val="clear" w:color="auto" w:fill="DBDBDB" w:themeFill="accent3" w:themeFillTint="66"/>
          </w:tcPr>
          <w:p w14:paraId="164DDBC4" w14:textId="77777777" w:rsidR="00FE1F40" w:rsidRPr="000E60CF" w:rsidRDefault="00FE1F40" w:rsidP="00AA45E0">
            <w:pPr>
              <w:jc w:val="center"/>
              <w:rPr>
                <w:rFonts w:ascii="Arial Narrow" w:hAnsi="Arial Narrow"/>
                <w:b/>
              </w:rPr>
            </w:pPr>
            <w:r w:rsidRPr="000E60CF">
              <w:rPr>
                <w:rFonts w:ascii="Arial Narrow" w:hAnsi="Arial Narrow"/>
                <w:b/>
              </w:rPr>
              <w:t>Zagrożenia</w:t>
            </w:r>
          </w:p>
        </w:tc>
        <w:tc>
          <w:tcPr>
            <w:tcW w:w="654" w:type="dxa"/>
            <w:tcBorders>
              <w:bottom w:val="single" w:sz="4" w:space="0" w:color="auto"/>
            </w:tcBorders>
            <w:shd w:val="clear" w:color="auto" w:fill="DBDBDB" w:themeFill="accent3" w:themeFillTint="66"/>
            <w:textDirection w:val="btLr"/>
          </w:tcPr>
          <w:p w14:paraId="43F4A606" w14:textId="77777777" w:rsidR="00FE1F40" w:rsidRPr="000E60CF" w:rsidRDefault="00FE1F40" w:rsidP="00AA45E0">
            <w:pPr>
              <w:ind w:left="113" w:right="113"/>
              <w:jc w:val="right"/>
              <w:rPr>
                <w:rFonts w:ascii="Arial Narrow" w:hAnsi="Arial Narrow"/>
                <w:b/>
              </w:rPr>
            </w:pPr>
          </w:p>
        </w:tc>
      </w:tr>
      <w:tr w:rsidR="00FE1F40" w:rsidRPr="000E60CF" w14:paraId="43D50F74" w14:textId="77777777" w:rsidTr="00AA45E0">
        <w:trPr>
          <w:cantSplit/>
          <w:trHeight w:val="7949"/>
          <w:jc w:val="center"/>
        </w:trPr>
        <w:tc>
          <w:tcPr>
            <w:tcW w:w="4845" w:type="dxa"/>
            <w:shd w:val="clear" w:color="auto" w:fill="auto"/>
          </w:tcPr>
          <w:p w14:paraId="4F0AF226" w14:textId="77777777" w:rsidR="00FE1F40" w:rsidRPr="000E60CF" w:rsidRDefault="00FE1F40" w:rsidP="00AA45E0">
            <w:pPr>
              <w:jc w:val="both"/>
              <w:rPr>
                <w:rFonts w:ascii="Arial Narrow" w:hAnsi="Arial Narrow"/>
              </w:rPr>
            </w:pPr>
            <w:r w:rsidRPr="000E60CF">
              <w:rPr>
                <w:rFonts w:ascii="Arial Narrow" w:hAnsi="Arial Narrow"/>
              </w:rPr>
              <w:lastRenderedPageBreak/>
              <w:t>Dostępność funduszy zewnętrznych (Europejski Fundusz Społeczny, Europejski Fundusz Rozwoju Regionalnego, Europejski Fundusz Rolny na rzecz Rozwoju Obszarów Wiejskich, Narodowy Fundusz Ochrony Środowiska) na działania wspierające modernizację i rozbudowę infrastruktury technicznej i społecznej, działania proekologiczne i eliminujące niską emisję, zagospodarowanie przestrzeni publicznych.</w:t>
            </w:r>
          </w:p>
          <w:p w14:paraId="71F87FC2" w14:textId="77777777" w:rsidR="00FE1F40" w:rsidRPr="000E60CF" w:rsidRDefault="00FE1F40" w:rsidP="00AA45E0">
            <w:pPr>
              <w:jc w:val="both"/>
              <w:rPr>
                <w:rFonts w:ascii="Arial Narrow" w:hAnsi="Arial Narrow"/>
              </w:rPr>
            </w:pPr>
            <w:r w:rsidRPr="000E60CF">
              <w:rPr>
                <w:rFonts w:ascii="Arial Narrow" w:hAnsi="Arial Narrow"/>
              </w:rPr>
              <w:t>Moda na ekologię, wzrost świadomości proekologicznej u mieszkańców – działania antysmogowe i ograniczające niską emisję.</w:t>
            </w:r>
          </w:p>
          <w:p w14:paraId="654A1B27" w14:textId="77777777" w:rsidR="00FE1F40" w:rsidRPr="000E60CF" w:rsidRDefault="00FE1F40" w:rsidP="00AA45E0">
            <w:pPr>
              <w:jc w:val="both"/>
              <w:rPr>
                <w:rFonts w:ascii="Arial Narrow" w:hAnsi="Arial Narrow"/>
              </w:rPr>
            </w:pPr>
            <w:r w:rsidRPr="000E60CF">
              <w:rPr>
                <w:rFonts w:ascii="Arial Narrow" w:hAnsi="Arial Narrow"/>
              </w:rPr>
              <w:t>Zmiany w prawie krajobrazowym – nowe kompetencje dla samorządów lokalnych w zakresie kształtowania ładu przestrzennego i estetyki przestrzeni publicznej np. eliminacja reklam wielkoformatowych itp.</w:t>
            </w:r>
          </w:p>
          <w:p w14:paraId="670093BD" w14:textId="77777777" w:rsidR="00FE1F40" w:rsidRPr="000E60CF" w:rsidRDefault="00FE1F40" w:rsidP="00AA45E0">
            <w:pPr>
              <w:jc w:val="both"/>
              <w:rPr>
                <w:rFonts w:ascii="Arial Narrow" w:hAnsi="Arial Narrow"/>
              </w:rPr>
            </w:pPr>
            <w:r w:rsidRPr="000E60CF">
              <w:rPr>
                <w:rFonts w:ascii="Arial Narrow" w:hAnsi="Arial Narrow"/>
              </w:rPr>
              <w:t>Moda na zdrowy tryb życia, popularyzacja aktywności fizycznej np. jazda rowerem, zajęcia fitness, pływanie itp.</w:t>
            </w:r>
          </w:p>
          <w:p w14:paraId="1C309B12" w14:textId="77777777" w:rsidR="00FE1F40" w:rsidRPr="000E60CF" w:rsidRDefault="00FE1F40" w:rsidP="00AA45E0">
            <w:pPr>
              <w:jc w:val="both"/>
              <w:rPr>
                <w:rFonts w:ascii="Arial Narrow" w:hAnsi="Arial Narrow"/>
              </w:rPr>
            </w:pPr>
            <w:r w:rsidRPr="000E60CF">
              <w:rPr>
                <w:rFonts w:ascii="Arial Narrow" w:hAnsi="Arial Narrow"/>
              </w:rPr>
              <w:t>Dostępność funduszy i wzrost świadomości w zakresie rewitalizacji przestrzeni (powolne odchodzenie od rewitalizacji pomijającej aspekt społeczny i gospodarczy).</w:t>
            </w:r>
          </w:p>
          <w:p w14:paraId="0FB9BA1D" w14:textId="77777777" w:rsidR="00FE1F40" w:rsidRPr="000E60CF" w:rsidRDefault="00FE1F40" w:rsidP="00AA45E0">
            <w:pPr>
              <w:jc w:val="both"/>
              <w:rPr>
                <w:rFonts w:ascii="Arial Narrow" w:hAnsi="Arial Narrow"/>
              </w:rPr>
            </w:pPr>
            <w:r w:rsidRPr="000E60CF">
              <w:rPr>
                <w:rFonts w:ascii="Arial Narrow" w:hAnsi="Arial Narrow"/>
              </w:rPr>
              <w:t>Moda na mieszkanie poza ścisłym centrum miast – osiedlanie się w mniejszych miejscowościach, budowa domów jednorodzinnych, chęć mieszkania bliżej przyrody.</w:t>
            </w:r>
          </w:p>
          <w:p w14:paraId="6325A354" w14:textId="77777777" w:rsidR="00FE1F40" w:rsidRDefault="00FE1F40" w:rsidP="00AA45E0">
            <w:pPr>
              <w:jc w:val="both"/>
              <w:rPr>
                <w:rFonts w:ascii="Arial Narrow" w:hAnsi="Arial Narrow"/>
              </w:rPr>
            </w:pPr>
            <w:r w:rsidRPr="000E60CF">
              <w:rPr>
                <w:rFonts w:ascii="Arial Narrow" w:hAnsi="Arial Narrow"/>
              </w:rPr>
              <w:t>Wzrost aktywności różnego typu grup nacisku – organizowania się społeczeństwa wokół różnego typu kwestii istotnych z punktu widzenia małych społeczności (np. nowe inwestycje, ochrona środowiska, bezpieczeństwo</w:t>
            </w:r>
            <w:r>
              <w:rPr>
                <w:rFonts w:ascii="Arial Narrow" w:hAnsi="Arial Narrow"/>
              </w:rPr>
              <w:t>, społeczeństwo obywatelskie</w:t>
            </w:r>
            <w:r w:rsidRPr="000E60CF">
              <w:rPr>
                <w:rFonts w:ascii="Arial Narrow" w:hAnsi="Arial Narrow"/>
              </w:rPr>
              <w:t>).</w:t>
            </w:r>
          </w:p>
          <w:p w14:paraId="35F7C195" w14:textId="77777777" w:rsidR="00FE1F40" w:rsidRDefault="00FE1F40" w:rsidP="00AA45E0">
            <w:pPr>
              <w:jc w:val="both"/>
              <w:rPr>
                <w:rFonts w:ascii="Arial Narrow" w:hAnsi="Arial Narrow"/>
              </w:rPr>
            </w:pPr>
            <w:r>
              <w:rPr>
                <w:rFonts w:ascii="Arial Narrow" w:hAnsi="Arial Narrow"/>
              </w:rPr>
              <w:t>Możliwość pozyskania środków na tworzenie oddolnych koncepcji rozwoju miejscowości.</w:t>
            </w:r>
          </w:p>
          <w:p w14:paraId="7CCA3277" w14:textId="77777777" w:rsidR="00FE1F40" w:rsidRPr="000E60CF" w:rsidRDefault="00FE1F40" w:rsidP="00AA45E0">
            <w:pPr>
              <w:jc w:val="both"/>
              <w:rPr>
                <w:rFonts w:ascii="Arial Narrow" w:hAnsi="Arial Narrow"/>
              </w:rPr>
            </w:pPr>
          </w:p>
        </w:tc>
        <w:tc>
          <w:tcPr>
            <w:tcW w:w="700" w:type="dxa"/>
            <w:shd w:val="clear" w:color="auto" w:fill="auto"/>
            <w:textDirection w:val="btLr"/>
          </w:tcPr>
          <w:p w14:paraId="73FEE80D" w14:textId="77777777" w:rsidR="00FE1F40" w:rsidRPr="000E60CF" w:rsidRDefault="00FE1F40" w:rsidP="00AA45E0">
            <w:pPr>
              <w:ind w:left="113" w:right="113"/>
              <w:jc w:val="right"/>
              <w:rPr>
                <w:rFonts w:ascii="Arial Narrow" w:hAnsi="Arial Narrow"/>
                <w:b/>
              </w:rPr>
            </w:pPr>
            <w:r w:rsidRPr="000E60CF">
              <w:rPr>
                <w:rFonts w:ascii="Arial Narrow" w:hAnsi="Arial Narrow"/>
              </w:rPr>
              <w:t>Wnioski z warsztatów strategicznych</w:t>
            </w:r>
            <w:r>
              <w:rPr>
                <w:rFonts w:ascii="Arial Narrow" w:hAnsi="Arial Narrow"/>
              </w:rPr>
              <w:t>; wnioski z konsultacji społecznych</w:t>
            </w:r>
          </w:p>
        </w:tc>
        <w:tc>
          <w:tcPr>
            <w:tcW w:w="4257" w:type="dxa"/>
            <w:shd w:val="clear" w:color="auto" w:fill="auto"/>
          </w:tcPr>
          <w:p w14:paraId="15193F6C" w14:textId="77777777" w:rsidR="00FE1F40" w:rsidRPr="000E60CF" w:rsidRDefault="00FE1F40" w:rsidP="00AA45E0">
            <w:pPr>
              <w:jc w:val="both"/>
              <w:rPr>
                <w:rFonts w:ascii="Arial Narrow" w:hAnsi="Arial Narrow"/>
              </w:rPr>
            </w:pPr>
            <w:r w:rsidRPr="000E60CF">
              <w:rPr>
                <w:rFonts w:ascii="Arial Narrow" w:hAnsi="Arial Narrow"/>
              </w:rPr>
              <w:t>Ubożenie części społeczeństwa i związane z tym próby oszczędności w ogrzewaniu kosztem jakości spalanych paliw – korzystanie z niskiej jakości miałów węglowych, spalanie śmieci itp.</w:t>
            </w:r>
          </w:p>
          <w:p w14:paraId="04A2E017" w14:textId="77777777" w:rsidR="00FE1F40" w:rsidRPr="000E60CF" w:rsidRDefault="00FE1F40" w:rsidP="00AA45E0">
            <w:pPr>
              <w:jc w:val="both"/>
              <w:rPr>
                <w:rFonts w:ascii="Arial Narrow" w:hAnsi="Arial Narrow"/>
              </w:rPr>
            </w:pPr>
            <w:r w:rsidRPr="000E60CF">
              <w:rPr>
                <w:rFonts w:ascii="Arial Narrow" w:hAnsi="Arial Narrow"/>
              </w:rPr>
              <w:t xml:space="preserve">Unifikacja, globalizacja i standaryzacja przestrzeni publicznej – zatracanie lokalności. Korzystanie z katalogowych rozwiązań – przestrzeń publiczna w większości miejscowości kształtowana jest w oparciu o te same wzorce – brak lokalnych specyfik i wyróżników. </w:t>
            </w:r>
          </w:p>
          <w:p w14:paraId="777B7B43" w14:textId="77777777" w:rsidR="00FE1F40" w:rsidRPr="000E60CF" w:rsidRDefault="00FE1F40" w:rsidP="00AA45E0">
            <w:pPr>
              <w:jc w:val="both"/>
              <w:rPr>
                <w:rFonts w:ascii="Arial Narrow" w:hAnsi="Arial Narrow"/>
              </w:rPr>
            </w:pPr>
            <w:r w:rsidRPr="000E60CF">
              <w:rPr>
                <w:rFonts w:ascii="Arial Narrow" w:hAnsi="Arial Narrow"/>
              </w:rPr>
              <w:t>Roszczeniowość społeczeństwa – postawa oczekiwania, że państwo/samorząd rozwiąże wszystkie problemy, bierność.</w:t>
            </w:r>
          </w:p>
          <w:p w14:paraId="5734C049" w14:textId="77777777" w:rsidR="00FE1F40" w:rsidRPr="000E60CF" w:rsidRDefault="00FE1F40" w:rsidP="00AA45E0">
            <w:pPr>
              <w:jc w:val="both"/>
              <w:rPr>
                <w:rFonts w:ascii="Arial Narrow" w:hAnsi="Arial Narrow"/>
              </w:rPr>
            </w:pPr>
            <w:r w:rsidRPr="000E60CF">
              <w:rPr>
                <w:rFonts w:ascii="Arial Narrow" w:hAnsi="Arial Narrow"/>
              </w:rPr>
              <w:t>Migracja edukacyjna i zarobkowa mieszkańców.</w:t>
            </w:r>
          </w:p>
          <w:p w14:paraId="1DC18F9B" w14:textId="77777777" w:rsidR="00FE1F40" w:rsidRPr="000E60CF" w:rsidRDefault="00FE1F40" w:rsidP="00AA45E0">
            <w:pPr>
              <w:jc w:val="both"/>
              <w:rPr>
                <w:rFonts w:ascii="Arial Narrow" w:hAnsi="Arial Narrow"/>
              </w:rPr>
            </w:pPr>
            <w:r w:rsidRPr="000E60CF">
              <w:rPr>
                <w:rFonts w:ascii="Arial Narrow" w:hAnsi="Arial Narrow"/>
              </w:rPr>
              <w:t>Indywidualizacja i prywatyzacja życia – zanikanie więzi społecznych, sąsiedzkich.</w:t>
            </w:r>
          </w:p>
        </w:tc>
        <w:tc>
          <w:tcPr>
            <w:tcW w:w="654" w:type="dxa"/>
            <w:shd w:val="clear" w:color="auto" w:fill="auto"/>
            <w:textDirection w:val="btLr"/>
          </w:tcPr>
          <w:p w14:paraId="25AEF40B" w14:textId="77777777" w:rsidR="00FE1F40" w:rsidRPr="000E60CF" w:rsidRDefault="00FE1F40" w:rsidP="00AA45E0">
            <w:pPr>
              <w:ind w:left="113" w:right="113"/>
              <w:jc w:val="right"/>
              <w:rPr>
                <w:rFonts w:ascii="Arial Narrow" w:hAnsi="Arial Narrow"/>
                <w:b/>
              </w:rPr>
            </w:pPr>
            <w:r w:rsidRPr="000E60CF">
              <w:rPr>
                <w:rFonts w:ascii="Arial Narrow" w:hAnsi="Arial Narrow"/>
              </w:rPr>
              <w:t>Wnioski z warsztatów strategicznych</w:t>
            </w:r>
          </w:p>
        </w:tc>
      </w:tr>
    </w:tbl>
    <w:p w14:paraId="5FBEBD97" w14:textId="77777777" w:rsidR="00FE1F40" w:rsidRDefault="00FE1F40" w:rsidP="00FE1F40">
      <w:pPr>
        <w:rPr>
          <w:rFonts w:ascii="Arial Narrow" w:hAnsi="Arial Narrow"/>
          <w:b/>
        </w:rPr>
      </w:pPr>
    </w:p>
    <w:p w14:paraId="337C2BA3" w14:textId="77777777" w:rsidR="00FE1F40" w:rsidRDefault="00FE1F40" w:rsidP="00FE1F40">
      <w:pPr>
        <w:rPr>
          <w:rFonts w:ascii="Arial Narrow" w:hAnsi="Arial Narrow"/>
          <w:b/>
        </w:rPr>
      </w:pPr>
    </w:p>
    <w:p w14:paraId="26AC42AD" w14:textId="77777777" w:rsidR="00AF6BD4" w:rsidRDefault="00AF6BD4"/>
    <w:sectPr w:rsidR="00AF6BD4" w:rsidSect="001E567B">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40"/>
    <w:rsid w:val="001E567B"/>
    <w:rsid w:val="00AF6BD4"/>
    <w:rsid w:val="00FE1F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7D83"/>
  <w15:chartTrackingRefBased/>
  <w15:docId w15:val="{D261DF90-A7FD-4753-804A-2D4B1181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1F40"/>
    <w:pPr>
      <w:spacing w:after="0" w:line="240" w:lineRule="auto"/>
    </w:pPr>
    <w:rPr>
      <w:rFonts w:ascii="Candara" w:hAnsi="Candara"/>
    </w:rPr>
  </w:style>
  <w:style w:type="paragraph" w:styleId="Nagwek1">
    <w:name w:val="heading 1"/>
    <w:basedOn w:val="Normalny"/>
    <w:next w:val="Normalny"/>
    <w:link w:val="Nagwek1Znak"/>
    <w:uiPriority w:val="9"/>
    <w:qFormat/>
    <w:rsid w:val="00FE1F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1F40"/>
    <w:rPr>
      <w:rFonts w:asciiTheme="majorHAnsi" w:eastAsiaTheme="majorEastAsia" w:hAnsiTheme="majorHAnsi" w:cstheme="majorBidi"/>
      <w:color w:val="2F5496" w:themeColor="accent1" w:themeShade="BF"/>
      <w:sz w:val="32"/>
      <w:szCs w:val="32"/>
    </w:rPr>
  </w:style>
  <w:style w:type="character" w:styleId="Hipercze">
    <w:name w:val="Hyperlink"/>
    <w:uiPriority w:val="99"/>
    <w:unhideWhenUsed/>
    <w:rsid w:val="00FE1F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zn.pl/biegi-narciarskie/aktualnosci/art1078,pzn-wspiera-budowe-tras-biegowych-w-gminie-grybow.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2507</Words>
  <Characters>15048</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2022-02-10T08:14:00Z</dcterms:created>
  <dcterms:modified xsi:type="dcterms:W3CDTF">2022-02-10T08:23:00Z</dcterms:modified>
</cp:coreProperties>
</file>