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52D" w:rsidRPr="00D8452D" w:rsidRDefault="00D8452D" w:rsidP="00D8452D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D8452D">
        <w:rPr>
          <w:rFonts w:ascii="Arial Narrow" w:hAnsi="Arial Narrow"/>
          <w:b/>
          <w:sz w:val="22"/>
          <w:szCs w:val="22"/>
        </w:rPr>
        <w:t>GRUPY DEFAWORYZOWANE</w:t>
      </w:r>
    </w:p>
    <w:p w:rsidR="00D8452D" w:rsidRPr="000E60CF" w:rsidRDefault="00D8452D" w:rsidP="00D8452D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E60CF">
        <w:rPr>
          <w:rFonts w:ascii="Arial Narrow" w:hAnsi="Arial Narrow"/>
          <w:sz w:val="22"/>
          <w:szCs w:val="22"/>
        </w:rPr>
        <w:t xml:space="preserve">osoby bezrobotne, młodzież i dzieci, seniorzy, a także ogólnie mieszkańcy obszarów wiejskich, którzy nie mają tak dobrej dostępności do usług społecznych czy publicznych jak mieszkańcy miasta. </w:t>
      </w:r>
    </w:p>
    <w:p w:rsidR="002A44AA" w:rsidRDefault="002A44AA"/>
    <w:p w:rsidR="00D8452D" w:rsidRPr="00D8452D" w:rsidRDefault="00D8452D">
      <w:pPr>
        <w:rPr>
          <w:b/>
        </w:rPr>
      </w:pPr>
      <w:r w:rsidRPr="00D8452D">
        <w:rPr>
          <w:b/>
        </w:rPr>
        <w:t>MOCNE I SŁABE STRONY</w:t>
      </w:r>
    </w:p>
    <w:p w:rsidR="00D8452D" w:rsidRDefault="00D8452D"/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5"/>
        <w:gridCol w:w="700"/>
        <w:gridCol w:w="4257"/>
        <w:gridCol w:w="654"/>
      </w:tblGrid>
      <w:tr w:rsidR="00D8452D" w:rsidRPr="000E60CF" w:rsidTr="00FB484B">
        <w:trPr>
          <w:jc w:val="center"/>
        </w:trPr>
        <w:tc>
          <w:tcPr>
            <w:tcW w:w="10456" w:type="dxa"/>
            <w:gridSpan w:val="4"/>
            <w:shd w:val="clear" w:color="auto" w:fill="4F6228" w:themeFill="accent3" w:themeFillShade="80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  <w:color w:val="FFFFFF" w:themeColor="background1"/>
              </w:rPr>
              <w:t>Cel ogólny 1. Rozwój i promowanie przedsiębiorczości</w:t>
            </w:r>
          </w:p>
        </w:tc>
      </w:tr>
      <w:tr w:rsidR="00D8452D" w:rsidRPr="000E60CF" w:rsidTr="00FB484B">
        <w:trPr>
          <w:cantSplit/>
          <w:trHeight w:val="1437"/>
          <w:jc w:val="center"/>
        </w:trPr>
        <w:tc>
          <w:tcPr>
            <w:tcW w:w="48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Mocne strony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Odniesienie do diagnozy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Słabe strony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Odniesienie do diagnozy</w:t>
            </w:r>
          </w:p>
        </w:tc>
      </w:tr>
      <w:tr w:rsidR="00D8452D" w:rsidRPr="000E60CF" w:rsidTr="00FB484B">
        <w:trPr>
          <w:cantSplit/>
          <w:trHeight w:val="1313"/>
          <w:jc w:val="center"/>
        </w:trPr>
        <w:tc>
          <w:tcPr>
            <w:tcW w:w="48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Wysoka dynamika wzrostu podmiotów gospodarczych – wzrost o 26%, to więcej niż średnia dla kraju (10%) i województwa (13,6%) w latach 2009-2014.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Silnie reprezentowana branża budowlana – 2,5 razy więcej podmiotów w tej sekcji PKD w stosunku dla średniej regionalnej i krajowej (liczne firmy budowlano – remontowe świadczące usługi na terenie m.in. Nowego Sącza, Warszawy i Krakowa).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Rozwój drobnych usług związanych z napływem nowych mieszkańców.</w:t>
            </w:r>
          </w:p>
        </w:tc>
        <w:tc>
          <w:tcPr>
            <w:tcW w:w="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3 diagnozy</w:t>
            </w:r>
          </w:p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Niski poziom wskaźnika przedsiębiorczości (liczba podmiotów gospodarczych na 1000 mieszkańców) - LGD Korona Sądecka (67,2), Polska (107,1) województwo małopolskie (105,9).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3 diagnozy</w:t>
            </w:r>
          </w:p>
        </w:tc>
      </w:tr>
      <w:tr w:rsidR="00D8452D" w:rsidRPr="000E60CF" w:rsidTr="00FB484B">
        <w:trPr>
          <w:cantSplit/>
          <w:trHeight w:val="1312"/>
          <w:jc w:val="center"/>
        </w:trPr>
        <w:tc>
          <w:tcPr>
            <w:tcW w:w="48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42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Wysoki wskaźnik bezrobocia - na obszarze LGD Korona Sądecka (8,6), średnia dla kraju (7,5), województwo małopolskie (6,6), powiat nowosądecki (8,3).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Niekorzystna struktura bezrobotnych: ponad połowa nie ukończyła jeszcze 35 roku życia; 27,2% jest w wieku powyżej 45 lat; co trzeci bezrobotny (36,2%) z wykształceniem zasadniczym zawodowym; ponad 40% bezrobotnych jest bez pracy dłużej niż rok; ponad 61% bezrobotnych to kobiety (średnia dla Polski to 51,5%); 1/5 bezrobotnych nie ma żadnego doświadczenia na rynku pracy.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4 diagnozy</w:t>
            </w:r>
          </w:p>
        </w:tc>
      </w:tr>
      <w:tr w:rsidR="00D8452D" w:rsidRPr="000E60CF" w:rsidTr="00FB484B">
        <w:trPr>
          <w:cantSplit/>
          <w:trHeight w:val="2119"/>
          <w:jc w:val="center"/>
        </w:trPr>
        <w:tc>
          <w:tcPr>
            <w:tcW w:w="4845" w:type="dxa"/>
            <w:tcBorders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Zainteresowanie mieszkańców wsparciem w zakresie różnicowania zatrudnienia oraz zakładania działalności gospodarczej i rozwijania przedsiębiorczości.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Obecność znanych rozpoznawalnych firm w skali regionalnej i ponadregionalnej </w:t>
            </w:r>
            <w:proofErr w:type="spellStart"/>
            <w:r w:rsidRPr="000E60CF">
              <w:rPr>
                <w:rFonts w:ascii="Arial Narrow" w:hAnsi="Arial Narrow"/>
              </w:rPr>
              <w:t>Szubryt</w:t>
            </w:r>
            <w:proofErr w:type="spellEnd"/>
            <w:r w:rsidRPr="000E60CF">
              <w:rPr>
                <w:rFonts w:ascii="Arial Narrow" w:hAnsi="Arial Narrow"/>
              </w:rPr>
              <w:t>, Wiśniowski, Bogdański, KSS Klęczany.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tcBorders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Korzystne położenie w stosunku do miast regionu – bliskość Nowego Sącza, Krakowa.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1 diagnozy</w:t>
            </w: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Niska ocena lokalnego rynku pracy przez mieszkańców - 6/10 respondentów uważa, że obszar LGD nie jest dobrym miejscem do pracy lub prowadzenia własnej działalności, a ponad 2/3 wskazuje obszar zatrudnienia jako najbardziej deficytowy w lokalnej polityce rozwojowej. 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3 diagnozy</w:t>
            </w:r>
          </w:p>
        </w:tc>
      </w:tr>
      <w:tr w:rsidR="00D8452D" w:rsidRPr="000E60CF" w:rsidTr="00FB484B">
        <w:trPr>
          <w:cantSplit/>
          <w:trHeight w:val="155"/>
          <w:jc w:val="center"/>
        </w:trPr>
        <w:tc>
          <w:tcPr>
            <w:tcW w:w="48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Szanse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Zagrożenia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2239"/>
          <w:jc w:val="center"/>
        </w:trPr>
        <w:tc>
          <w:tcPr>
            <w:tcW w:w="4845" w:type="dxa"/>
            <w:vMerge w:val="restart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Dostępność funduszy na aktywizację osób bezrobotnych finansowane ze środków np. EFS i Funduszu Pracy.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Wsparcie finansowe dla powstawania spółdzielni socjalnych i promowanie ekonomii społecznej.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Dostępność funduszy zewnętrznych (Europejski Fundusz Społeczny, Europejski Fundusz Rozwoju Regionalnego, Europejski Fundusz Rolny na rzecz Rozwoju Obszarów Wiejskich) na działania wspierające rozpoczynanie </w:t>
            </w:r>
            <w:r w:rsidRPr="000E60CF">
              <w:rPr>
                <w:rFonts w:ascii="Arial Narrow" w:hAnsi="Arial Narrow"/>
              </w:rPr>
              <w:lastRenderedPageBreak/>
              <w:t>działalności gospodarczej, tworzenie nowych miejsc pracy, wprowadzanie innowacji (produktowych, procesowych, organizacyjnych), podnoszenie lub aktualizację kwalifikacji.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Szansa na szybkie połączenie z autostradą A4 poprzez przebudowę tzw. sądeczanki na trasie Brzesko – Nowy Sącz (trasa uwzględniona w rządowym Programie Budowy Dróg Krajowych do 2023 r.), oraz budowę nowego połączenia kolejowego Kraków – Nowy Sącz.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Poprawa koniunktury gospodarczej (w tym na rynku budowlanym) w kraju i UE – wzrost nakładów na inwestycje – poszukiwanie nowych lokalizacji pod rozwój działalności gospodarczej.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lastRenderedPageBreak/>
              <w:t>Wnioski z warsztatów strategicznych</w:t>
            </w:r>
          </w:p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Odpływ młodych ludzi do dużych ośrodków miejskich i zagranicę.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Migracja zarobkowa w poszukiwaniu pracy zgodnej z posiadanymi kwalifikacjami, lub lepiej płatnej pracy.</w:t>
            </w:r>
          </w:p>
        </w:tc>
        <w:tc>
          <w:tcPr>
            <w:tcW w:w="654" w:type="dxa"/>
            <w:shd w:val="clear" w:color="auto" w:fill="auto"/>
            <w:textDirection w:val="btLr"/>
            <w:vAlign w:val="cente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3 diagnozy</w:t>
            </w:r>
          </w:p>
        </w:tc>
      </w:tr>
      <w:tr w:rsidR="00D8452D" w:rsidRPr="000E60CF" w:rsidTr="00FB484B">
        <w:trPr>
          <w:cantSplit/>
          <w:trHeight w:val="372"/>
          <w:jc w:val="center"/>
        </w:trPr>
        <w:tc>
          <w:tcPr>
            <w:tcW w:w="48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42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Konkurencja o środki UE ze strony innych samorządów i LGD (system konkursowy – brak gwarancji otrzymania środków zewnętrznych).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Niekontrolowana </w:t>
            </w:r>
            <w:proofErr w:type="spellStart"/>
            <w:r w:rsidRPr="000E60CF">
              <w:rPr>
                <w:rFonts w:ascii="Arial Narrow" w:hAnsi="Arial Narrow"/>
              </w:rPr>
              <w:t>suburbanizacja</w:t>
            </w:r>
            <w:proofErr w:type="spellEnd"/>
            <w:r w:rsidRPr="000E60CF">
              <w:rPr>
                <w:rFonts w:ascii="Arial Narrow" w:hAnsi="Arial Narrow"/>
              </w:rPr>
              <w:t xml:space="preserve"> – rozlewanie się miast.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Szara strefa – ukryte bezrobocie (także w rolnictwie)</w:t>
            </w:r>
          </w:p>
        </w:tc>
        <w:tc>
          <w:tcPr>
            <w:tcW w:w="654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</w:rPr>
            </w:pPr>
          </w:p>
        </w:tc>
      </w:tr>
      <w:tr w:rsidR="00D8452D" w:rsidRPr="000E60CF" w:rsidTr="00FB484B">
        <w:trPr>
          <w:cantSplit/>
          <w:trHeight w:val="61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lastRenderedPageBreak/>
              <w:t>Stopniowe zwiększanie dywersyfikacji działalności rolniczej w kierunku np. agroturystyki lub gospodarstw ekologicznych.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 9 diagnozy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</w:tr>
      <w:tr w:rsidR="00D8452D" w:rsidRPr="000E60CF" w:rsidTr="00FB484B">
        <w:trPr>
          <w:cantSplit/>
          <w:trHeight w:val="70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  <w:highlight w:val="yellow"/>
              </w:rPr>
            </w:pPr>
            <w:r w:rsidRPr="000E60CF">
              <w:rPr>
                <w:rFonts w:ascii="Arial Narrow" w:hAnsi="Arial Narrow"/>
              </w:rPr>
              <w:t>Działania na rzecz wzrostu efektywności produkcji rolnej np. wspieranie powstawania spółdzielni i grup producenckich.</w:t>
            </w:r>
          </w:p>
        </w:tc>
        <w:tc>
          <w:tcPr>
            <w:tcW w:w="700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336"/>
          <w:jc w:val="center"/>
        </w:trPr>
        <w:tc>
          <w:tcPr>
            <w:tcW w:w="10456" w:type="dxa"/>
            <w:gridSpan w:val="4"/>
            <w:shd w:val="clear" w:color="auto" w:fill="4F6228" w:themeFill="accent3" w:themeFillShade="80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  <w:color w:val="FFFFFF" w:themeColor="background1"/>
              </w:rPr>
              <w:t>Rozwój turystyki, kultury i rekreacji na obszarze LGD</w:t>
            </w:r>
          </w:p>
        </w:tc>
      </w:tr>
      <w:tr w:rsidR="00D8452D" w:rsidRPr="000E60CF" w:rsidTr="00FB484B">
        <w:trPr>
          <w:cantSplit/>
          <w:trHeight w:val="285"/>
          <w:jc w:val="center"/>
        </w:trPr>
        <w:tc>
          <w:tcPr>
            <w:tcW w:w="484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Mocne strony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Słabe strony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1800"/>
          <w:jc w:val="center"/>
        </w:trPr>
        <w:tc>
          <w:tcPr>
            <w:tcW w:w="4845" w:type="dxa"/>
            <w:vMerge w:val="restart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Wysoka dostępność domów kultury dla mieszkańców (liczba mieszkańców na jeden dom kultury: 3588 osób; średnia dla Polski: 9574 osoby).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3 Gminne Ośrodki Kultury (Kamionka Wielka, Klęczany, Grybów) oraz Miejski Dom Kultury w Grybowie posiadające łącznie 19 filii (w tym świetlice wiejskie oraz pracownia plastyczna).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Wysoki poziom aktywności kulturalnej mieszkańców: amatorski teatr młodzieżowy, zespół teatralno-obrzędowy, koła zainteresowań, grupy artystyczne, 6 zespołów amatorskich, wydawany jest także kwartalnik społeczno-kulturalny „Gminne Wieści” oraz </w:t>
            </w:r>
            <w:r w:rsidRPr="000E60CF">
              <w:rPr>
                <w:rFonts w:ascii="Arial Narrow" w:hAnsi="Arial Narrow"/>
                <w:color w:val="000000" w:themeColor="text1"/>
              </w:rPr>
              <w:t>„Kurier Chełmiecki, „Kurier Grybowski</w:t>
            </w:r>
            <w:r w:rsidRPr="000E60CF">
              <w:rPr>
                <w:rFonts w:ascii="Arial Narrow" w:hAnsi="Arial Narrow"/>
                <w:i/>
                <w:color w:val="000000" w:themeColor="text1"/>
              </w:rPr>
              <w:t>”, „</w:t>
            </w:r>
            <w:r w:rsidRPr="000E60CF">
              <w:rPr>
                <w:rFonts w:ascii="Arial Narrow" w:hAnsi="Arial Narrow"/>
                <w:color w:val="000000" w:themeColor="text1"/>
              </w:rPr>
              <w:t>Głos Małopolski”, „Serce Innym”.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5 diagnozy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Niewielka liczba (80) podmiotów gospodarczych w sekcji I – Działalność związana z zakwaterowaniem i usługami gastronomicznymi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  <w:r w:rsidRPr="000E60CF">
              <w:rPr>
                <w:rFonts w:ascii="Arial Narrow" w:hAnsi="Arial Narrow"/>
              </w:rPr>
              <w:t xml:space="preserve">(1,7% wszystkich zarejestrowanych podmiotów gospodarczych w sekcjach PKD).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Stosunkowo niewielka liczba miejsc noclegowych (430 miejsc noclegowych w 22 miejscach).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8 diagnozy</w:t>
            </w:r>
          </w:p>
        </w:tc>
      </w:tr>
      <w:tr w:rsidR="00D8452D" w:rsidRPr="000E60CF" w:rsidTr="00FB484B">
        <w:trPr>
          <w:cantSplit/>
          <w:trHeight w:val="1251"/>
          <w:jc w:val="center"/>
        </w:trPr>
        <w:tc>
          <w:tcPr>
            <w:tcW w:w="4845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0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Mało urozmaicona oferta wydarzeń kulturalnych,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  <w:r w:rsidRPr="000E60CF">
              <w:rPr>
                <w:rFonts w:ascii="Arial Narrow" w:hAnsi="Arial Narrow"/>
              </w:rPr>
              <w:t xml:space="preserve">organizowanie wydarzeń głównie o tematyce ludowej, nawiązującej do tradycji Sądecczyzny.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45% mieszkańców obszaru LGD niezadowolonych z rozwoju oferty turystycznej na ich terenie.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Rozdział 2, 7 </w:t>
            </w:r>
            <w:proofErr w:type="spellStart"/>
            <w:r w:rsidRPr="000E60CF">
              <w:rPr>
                <w:rFonts w:ascii="Arial Narrow" w:hAnsi="Arial Narrow"/>
              </w:rPr>
              <w:t>diag</w:t>
            </w:r>
            <w:proofErr w:type="spellEnd"/>
            <w:r w:rsidRPr="000E60CF">
              <w:rPr>
                <w:rFonts w:ascii="Arial Narrow" w:hAnsi="Arial Narrow"/>
              </w:rPr>
              <w:t>; wnioski z badań</w:t>
            </w:r>
          </w:p>
        </w:tc>
      </w:tr>
      <w:tr w:rsidR="00D8452D" w:rsidRPr="000E60CF" w:rsidTr="00FB484B">
        <w:trPr>
          <w:cantSplit/>
          <w:trHeight w:val="1251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22 stowarzyszenia zajmujące się promocją i upowszechnianiem kultury fizycznej, sportu i rekreacji oraz inicjowaniem i wspieraniem działań w sferze kultury i nauki, a także promowaniem regionu m.in. poprzez promowanie dorobku kulturalnego oraz podejmowaniem działań z zakresu turystyki i wypoczynku.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Bardzo duże zaangażowanie mieszkańców w działalność zespołów artystycznych oraz klubów (kół) zainteresowań - liczba członków zespołów artystycznych na 1000 mieszkańców wyniosła 26 (Polska: 7, województwo małopolskie: 9, powiat nowosądecki: 22), liczba członków kół zainteresowań w przeliczeniu na 1000 mieszańców wynosiła 18 osób (Polska: 11, województwo małopolskie: 11, powiat nowosądecki: 11).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5 diagnozy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Brak wyraźnego centrum ruchu turystycznego, głównego, rozpoznawalnego i wypromowanego produktu turystycznego.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Baza gastronomiczna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  <w:r w:rsidRPr="000E60CF">
              <w:rPr>
                <w:rFonts w:ascii="Arial Narrow" w:hAnsi="Arial Narrow"/>
              </w:rPr>
              <w:t>– niewielka, mało urozmaicona, mało informacji o lokalach gastronomicznych na portalach informacyjnych i serwisach społecznościowych.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Słaba promocja oferty turystycznej poza LGD.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Słabo rozwinięta infrastruktura turystyczna – uzupełniająca pobyt odwiedzających obszar LGD.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Słaba i mało widoczna współpraca podmiotów z obszaru turystyki w celu wzajemnej promocji i informacji.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Niewykorzystany potencjał i brak zagospodarowania zbiorników wodnych na terenie LGD. 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color w:val="00B050"/>
              </w:rPr>
            </w:pPr>
            <w:r w:rsidRPr="000E60CF">
              <w:rPr>
                <w:rFonts w:ascii="Arial Narrow" w:hAnsi="Arial Narrow"/>
              </w:rPr>
              <w:lastRenderedPageBreak/>
              <w:t>Działające KGW – to bardzo ważny podmiot na terenie LGD. Fenomenem tutaj jest gmina Grybów – działa tam 17 sztuk (W gm. Grybów oraz w Gminie Chełmiec odbywają się Gminne Przeglądy Dorobku KGW).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Nowe obiekty sportowo-rekreacyjne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  <w:r w:rsidRPr="000E60CF">
              <w:rPr>
                <w:rFonts w:ascii="Arial Narrow" w:hAnsi="Arial Narrow"/>
              </w:rPr>
              <w:t xml:space="preserve">(m. in. siłownia zewnętrzna w gminie Chełmiec, place zabaw w gminie Kamionka Wielka, scena widowiskowa w Królowej Górnej, centrum lekkoatletyczne w </w:t>
            </w:r>
            <w:proofErr w:type="spellStart"/>
            <w:r w:rsidRPr="000E60CF">
              <w:rPr>
                <w:rFonts w:ascii="Arial Narrow" w:hAnsi="Arial Narrow"/>
              </w:rPr>
              <w:t>Binczarowej</w:t>
            </w:r>
            <w:proofErr w:type="spellEnd"/>
            <w:r w:rsidRPr="000E60CF">
              <w:rPr>
                <w:rFonts w:ascii="Arial Narrow" w:hAnsi="Arial Narrow"/>
              </w:rPr>
              <w:t xml:space="preserve">, obiekty turystyczno-rekreacyjne w Wyskitnej). W ostatnich latach powstała baza sportowa Gminy Chełmiec (kompleks sportowy „Orlik” w Świniarsku, sale gimnastyczne w Piątkowej, Marcinkowicach, Świniarsku, Librantowej, Paszynie, Trzetrzewinie i Chełmcu), czy w Grybowie: </w:t>
            </w:r>
            <w:r w:rsidRPr="000E60CF">
              <w:rPr>
                <w:rFonts w:ascii="Arial Narrow" w:hAnsi="Arial Narrow"/>
                <w:color w:val="000000" w:themeColor="text1"/>
              </w:rPr>
              <w:t>„Orlik” z 2012 roku z kortem tenisowym, boiskiem do piłki plażowej</w:t>
            </w:r>
            <w:r w:rsidRPr="000E60CF">
              <w:rPr>
                <w:rFonts w:ascii="Arial Narrow" w:hAnsi="Arial Narrow"/>
              </w:rPr>
              <w:t xml:space="preserve"> Obecnie w Ptaszkowej powstaje Ośrodek Sportów Zimowych (więcej: </w:t>
            </w:r>
            <w:hyperlink r:id="rId5" w:history="1">
              <w:r w:rsidRPr="000E60CF">
                <w:rPr>
                  <w:rStyle w:val="Hipercze"/>
                  <w:rFonts w:ascii="Arial Narrow" w:hAnsi="Arial Narrow"/>
                </w:rPr>
                <w:t>http://www.pzn.pl/biegi-narciarskie/aktualnosci/art1078,pzn-wspiera-budowe-tras-biegowych-w-gminie-grybow.html</w:t>
              </w:r>
            </w:hyperlink>
            <w:r w:rsidRPr="000E60CF">
              <w:rPr>
                <w:rFonts w:ascii="Arial Narrow" w:hAnsi="Arial Narrow"/>
              </w:rPr>
              <w:t>). W Chełmcu budowany jest basen.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7 diagnozy</w:t>
            </w:r>
          </w:p>
        </w:tc>
        <w:tc>
          <w:tcPr>
            <w:tcW w:w="4257" w:type="dxa"/>
            <w:vMerge w:val="restart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 w:val="restart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Liczne imprezy kulturalne, m.in. Przeglądy Zespołów Kolędniczych, Przegląd Palm Wielkanocnych, Imieniny Gminy Chełmiec związane w uroczystościami ku czci świętego Krzysztofa, Powiatowy Przegląd Grup Kolędniczych SĄDECKIE KOLĘDOWANIE, Lato w Dolinie Kamionki, „Grybowskie Lato/Jesień”, </w:t>
            </w:r>
            <w:r w:rsidRPr="000E60CF">
              <w:rPr>
                <w:rFonts w:ascii="Arial Narrow" w:hAnsi="Arial Narrow"/>
                <w:color w:val="000000" w:themeColor="text1"/>
              </w:rPr>
              <w:t>Memoriał im</w:t>
            </w:r>
            <w:r w:rsidRPr="000E60CF">
              <w:rPr>
                <w:rFonts w:ascii="Arial Narrow" w:hAnsi="Arial Narrow"/>
              </w:rPr>
              <w:t xml:space="preserve">. R. </w:t>
            </w:r>
            <w:proofErr w:type="spellStart"/>
            <w:r w:rsidRPr="000E60CF">
              <w:rPr>
                <w:rFonts w:ascii="Arial Narrow" w:hAnsi="Arial Narrow"/>
              </w:rPr>
              <w:t>Stramki</w:t>
            </w:r>
            <w:proofErr w:type="spellEnd"/>
            <w:r w:rsidRPr="000E60CF">
              <w:rPr>
                <w:rFonts w:ascii="Arial Narrow" w:hAnsi="Arial Narrow"/>
              </w:rPr>
              <w:t xml:space="preserve"> i Z. Kmiecia w Ptaszkowej</w:t>
            </w:r>
            <w:r w:rsidRPr="000E60CF">
              <w:rPr>
                <w:rFonts w:ascii="Arial Narrow" w:hAnsi="Arial Narrow"/>
                <w:color w:val="000000" w:themeColor="text1"/>
              </w:rPr>
              <w:t>, Biesiada u Bartnika, Spartakiada Złota Jesień Osób Niepełnosprawnych w Stróżach, Letnia Spartakiada Integracyjna w Stróżach – są to wydarzenia cykliczne, specyficzne dla obszaru LGD, integrujące społeczność oraz promujące kulturę i tradycję.</w:t>
            </w:r>
            <w:r w:rsidRPr="000E60CF">
              <w:rPr>
                <w:rFonts w:ascii="Arial Narrow" w:hAnsi="Arial Narrow"/>
              </w:rPr>
              <w:t xml:space="preserve">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46 zabytków wpisanych do Rejestru Zabytków Nieruchomych Województwa Małopolskiego, a oprócz tego lokalne zabytki niewpisane do Rejestru.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7 diagnozy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E60CF">
              <w:rPr>
                <w:rFonts w:ascii="Arial Narrow" w:hAnsi="Arial Narrow"/>
                <w:color w:val="000000" w:themeColor="text1"/>
              </w:rPr>
              <w:lastRenderedPageBreak/>
              <w:t xml:space="preserve">Spory potencjał przyrodniczy i historyczny obszaru: położenie na obszarze Pogórza Rożnowsko-Ciężkowickiego (zachodni masyw Beskidu Niskiego), z zachodu ograniczone górskimi wzniesieniami Beskidu Wyspowego, atrakcyjne widokowo tereny przy ujściu Smolnika do Dunajca, miejscowość Paszyn – ośrodek autentycznej rzeźby ludowej i prymitywnego malarstwa, muzeum etnograficzne, znajduje się tu dawna Łemkowszczyzna, a także inne, między innymi Kościół w </w:t>
            </w:r>
            <w:proofErr w:type="spellStart"/>
            <w:r w:rsidRPr="000E60CF">
              <w:rPr>
                <w:rFonts w:ascii="Arial Narrow" w:hAnsi="Arial Narrow"/>
                <w:color w:val="000000" w:themeColor="text1"/>
              </w:rPr>
              <w:t>Binczarowej</w:t>
            </w:r>
            <w:proofErr w:type="spellEnd"/>
            <w:r w:rsidRPr="000E60CF">
              <w:rPr>
                <w:rFonts w:ascii="Arial Narrow" w:hAnsi="Arial Narrow"/>
                <w:color w:val="000000" w:themeColor="text1"/>
              </w:rPr>
              <w:t xml:space="preserve"> (wpisany na listę UNESCO), Kąclowej, Krużlowej Wyżnej, cerkiew w Boguszy i w Królowej Górnej, Skansen Pszczelarski im. Bogdana </w:t>
            </w:r>
            <w:proofErr w:type="spellStart"/>
            <w:r w:rsidRPr="000E60CF">
              <w:rPr>
                <w:rFonts w:ascii="Arial Narrow" w:hAnsi="Arial Narrow"/>
                <w:color w:val="000000" w:themeColor="text1"/>
              </w:rPr>
              <w:t>Szymusika</w:t>
            </w:r>
            <w:proofErr w:type="spellEnd"/>
            <w:r w:rsidRPr="000E60CF">
              <w:rPr>
                <w:rFonts w:ascii="Arial Narrow" w:hAnsi="Arial Narrow"/>
                <w:color w:val="000000" w:themeColor="text1"/>
              </w:rPr>
              <w:t xml:space="preserve"> w Stróżach.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E60CF">
              <w:rPr>
                <w:rFonts w:ascii="Arial Narrow" w:hAnsi="Arial Narrow"/>
                <w:color w:val="000000" w:themeColor="text1"/>
              </w:rPr>
              <w:t>Mnogość obszarów objętych różnymi formami ochrony przyrody - 19228,1 ha obszarów prawnie chronionych, 37 pomników przyrody, rezerwaty, pomniki przyrody, park krajobrazowy.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  <w:color w:val="000000" w:themeColor="text1"/>
              </w:rPr>
              <w:t>Atrakcje turystyczne w postaci: część Szlaku Architektury Drewnianej, skansenu będącego częścią Muzeum Pszczelarstwa „Sądecki Bartnik” oraz miejscowość Paszyn, w której znajduje się Muzeum Sztuki Ludowej im. ks. E. Nitki, a także Muzeum Parafialne w Grybowie w budynku z XVII wieku, rekonstrukcja zamku i warowni – obiekt „Stara Baśń’ w Grybowie.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8 diagnozy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E60CF">
              <w:rPr>
                <w:rFonts w:ascii="Arial Narrow" w:hAnsi="Arial Narrow"/>
                <w:color w:val="000000" w:themeColor="text1"/>
              </w:rPr>
              <w:t>Cztery ścieżki przyrodnicze (Biała Niżna, Ptaszkowa, Stróże, „</w:t>
            </w:r>
            <w:proofErr w:type="spellStart"/>
            <w:r w:rsidRPr="000E60CF">
              <w:rPr>
                <w:rFonts w:ascii="Arial Narrow" w:hAnsi="Arial Narrow"/>
                <w:color w:val="000000" w:themeColor="text1"/>
              </w:rPr>
              <w:t>Rachelowskie</w:t>
            </w:r>
            <w:proofErr w:type="spellEnd"/>
            <w:r w:rsidRPr="000E60CF">
              <w:rPr>
                <w:rFonts w:ascii="Arial Narrow" w:hAnsi="Arial Narrow"/>
                <w:color w:val="000000" w:themeColor="text1"/>
              </w:rPr>
              <w:t xml:space="preserve"> Góry”), przyrodniczo-leśna „Rdziostów” oraz dydaktyczno-rekreacyjna w Biczycach Górnych.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  <w:color w:val="000000" w:themeColor="text1"/>
              </w:rPr>
            </w:pPr>
            <w:r w:rsidRPr="000E60CF">
              <w:rPr>
                <w:rFonts w:ascii="Arial Narrow" w:hAnsi="Arial Narrow"/>
                <w:color w:val="000000" w:themeColor="text1"/>
              </w:rPr>
              <w:t>2 stacje narciarskie (Stacja narciarska „Cieniawa-SKI”, Wyciąg narciarski PKS Jaworze w Ptaszkowej).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8 diagnozy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12 kulinarnych produktów lokalnych wyróżnionych w projekcie „Lokalne inicjatywy na rzecz rozwoju regionalnego powiatu gorlickiego i nowosądeckiego”.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26 rękodzielniczych produktów lokalnych</w:t>
            </w:r>
            <w:r w:rsidRPr="000E60CF">
              <w:rPr>
                <w:rFonts w:ascii="Arial Narrow" w:hAnsi="Arial Narrow"/>
                <w:b/>
              </w:rPr>
              <w:t xml:space="preserve"> </w:t>
            </w:r>
            <w:r w:rsidRPr="000E60CF">
              <w:rPr>
                <w:rFonts w:ascii="Arial Narrow" w:hAnsi="Arial Narrow"/>
              </w:rPr>
              <w:t>wyróżnionych w projekcie „Lokalne inicjatywy na rzecz rozwoju regionalnego powiatu gorlickiego i nowosądeckiego”.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9 diagnozy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highlight w:val="yellow"/>
              </w:rPr>
            </w:pPr>
          </w:p>
        </w:tc>
      </w:tr>
      <w:tr w:rsidR="00D8452D" w:rsidRPr="000E60CF" w:rsidTr="00FB484B">
        <w:trPr>
          <w:cantSplit/>
          <w:trHeight w:val="2087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Ośrodek Hipoterapii wraz z krytą zjeżdżalnią przy Fundacji Pomocy Osobom Niepełnosprawnym w Stróżach.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Gminy Kamionka Wielka i Grybów są członkami Sądeckiej Organizacji Turystycznej.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Doświadczenie w realizacji projektów partnerskich za pośrednictwem LGD w perspektywie 2007-2013.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</w:tr>
      <w:tr w:rsidR="00D8452D" w:rsidRPr="000E60CF" w:rsidTr="00FB484B">
        <w:trPr>
          <w:cantSplit/>
          <w:trHeight w:val="149"/>
          <w:jc w:val="center"/>
        </w:trPr>
        <w:tc>
          <w:tcPr>
            <w:tcW w:w="4845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Szanse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DD9C3" w:themeFill="background2" w:themeFillShade="E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Zagrożenia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5145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lastRenderedPageBreak/>
              <w:t>Dostęp klienta lokalnego rynku turystycznego - korzystne położenie względem innych, atrakcyjnych turystycznie miejscowości w powiecie i regionie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Plany szybkiego połączenia z autostradą A4 poprzez przebudowę tzw. sądeczanki na trasie Brzesko – Nowy Sącz (trasa uwzględniona w rządowym Programie Budowy Dróg Krajowych do 2023 r.).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Współpraca podmiotów publicznych, prywatnych i społecznych na rzecz aktywizacji turystycznej i kulturalnej, np. w ramach partnerstw terytorialnych, lokalnych grup działania, lokalnych organizacji turystycznych.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Zainteresowanie w społeczeństwie wypoczynkiem aktywnym, rekreacją i uprawianiem sportów.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Popularyzacja turystyki weekendowej wśród Polaków.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Moda na lokalność, odrywanie tradycji, lokalnego dziedzictwa, produktów lokalnych.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Wzrost zainteresowania i świadomości w zakresie naturalnych, ekologicznych produktów.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Moda na turystykę 3xE – połączenie rozrywki, doświadczenia i edukacji.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Możliwość pozyskania środków zewnętrznych na rozwój turystyki, rekreacji i kultury (fundusze UE – Program Operacyjny Województwa Małopolskiego, Program Rozwoju Obszarów Wiejskich, fundusze szwajcarskie, fundusze norweskie, Fundusz Rozwoju Kultury Fizycznej).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Tworzenie i rozwój konkurencyjnych regionów turystycznych opartych na podobnych walorach przyrodniczych (obszary leśne, podgórskie) i turystyce aktywnej w najbliższym otoczeniu LGD (Krynica Górska, Muszyna, Szczawnica, Krościenko nad Dunajcem).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 xml:space="preserve">Postępująca </w:t>
            </w:r>
            <w:proofErr w:type="spellStart"/>
            <w:r w:rsidRPr="000E60CF">
              <w:rPr>
                <w:rFonts w:ascii="Arial Narrow" w:hAnsi="Arial Narrow"/>
              </w:rPr>
              <w:t>suburbanizacja</w:t>
            </w:r>
            <w:proofErr w:type="spellEnd"/>
            <w:r w:rsidRPr="000E60CF">
              <w:rPr>
                <w:rFonts w:ascii="Arial Narrow" w:hAnsi="Arial Narrow"/>
              </w:rPr>
              <w:t xml:space="preserve"> – przeznaczania kolejnych działek rolnych na zabudowę jednorodzinną.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Słaba rozpoznawalność gmin z ternu LGD jako ośrodka turystycznego w skali regionalnej i ponadregionalnej, lub postrzeganie jej jako mało atrakcyjnej.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</w:tr>
      <w:tr w:rsidR="00D8452D" w:rsidRPr="000E60CF" w:rsidTr="00FB484B">
        <w:trPr>
          <w:cantSplit/>
          <w:trHeight w:val="70"/>
          <w:jc w:val="center"/>
        </w:trPr>
        <w:tc>
          <w:tcPr>
            <w:tcW w:w="10456" w:type="dxa"/>
            <w:gridSpan w:val="4"/>
            <w:shd w:val="clear" w:color="auto" w:fill="4F6228" w:themeFill="accent3" w:themeFillShade="80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  <w:b/>
                <w:color w:val="FFFFFF" w:themeColor="background1"/>
              </w:rPr>
              <w:t>Rozwój wysokiej jakości przestrzeni do życia</w:t>
            </w:r>
          </w:p>
        </w:tc>
      </w:tr>
      <w:tr w:rsidR="00D8452D" w:rsidRPr="000E60CF" w:rsidTr="00FB484B">
        <w:trPr>
          <w:cantSplit/>
          <w:trHeight w:val="70"/>
          <w:jc w:val="center"/>
        </w:trPr>
        <w:tc>
          <w:tcPr>
            <w:tcW w:w="4845" w:type="dxa"/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Mocne strony</w:t>
            </w:r>
          </w:p>
        </w:tc>
        <w:tc>
          <w:tcPr>
            <w:tcW w:w="700" w:type="dxa"/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Słabe strony</w:t>
            </w:r>
          </w:p>
        </w:tc>
        <w:tc>
          <w:tcPr>
            <w:tcW w:w="654" w:type="dxa"/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</w:p>
        </w:tc>
      </w:tr>
      <w:tr w:rsidR="00D8452D" w:rsidRPr="000E60CF" w:rsidTr="00FB484B">
        <w:trPr>
          <w:cantSplit/>
          <w:trHeight w:val="70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Bardzo korzystne wskaźniki demograficzne – dodatni przyrost naturalny i migracyjny.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1 diagnozy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Stosunkowo wysoki odsetek ludności korzystającej z pomocy społecznej (15,8%) – średnia dla kraju (8,3%), dla województwa (6,3%).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Relatywnie wysoka liczba rodzin otrzymujących zasiłki rodzinne.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6 diagnozy</w:t>
            </w:r>
          </w:p>
        </w:tc>
      </w:tr>
      <w:tr w:rsidR="00D8452D" w:rsidRPr="000E60CF" w:rsidTr="00FB484B">
        <w:trPr>
          <w:cantSplit/>
          <w:trHeight w:val="1273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Stosunkowo duża aktywność mieszkańców i wysoki poziom odpowiedzialności za sprawy lokalne – wyraźnie wyższy poziom frekwencji w wyborach do wszystkich szczebli administracji samorządowej i państwowej niż średnia krajowa i wojewódzka.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5 diagnozy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Wzrost liczby mieszkańców kierowanych na leczenie ze względu na problemy alkoholowe. Słaba dostępność do infrastruktury służby zdrowia – liczba mieszkańców na jedną przychodnię – 2964 (w Polsce – 1919, w województwie – 1932, w powiecie 2380).</w:t>
            </w:r>
          </w:p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Rozdział 6 diagnozy</w:t>
            </w:r>
          </w:p>
        </w:tc>
      </w:tr>
      <w:tr w:rsidR="00D8452D" w:rsidRPr="000E60CF" w:rsidTr="00FB484B">
        <w:trPr>
          <w:cantSplit/>
          <w:trHeight w:val="1134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Bardzo wysoka ocena obszaru LGD jako miejsca do życia (da zamieszkiwania) – uznało tak ponad 75% respondentów.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jc w:val="right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Wnioski z badań</w:t>
            </w:r>
          </w:p>
        </w:tc>
        <w:tc>
          <w:tcPr>
            <w:tcW w:w="4257" w:type="dxa"/>
            <w:vMerge w:val="restart"/>
            <w:shd w:val="clear" w:color="auto" w:fill="auto"/>
          </w:tcPr>
          <w:p w:rsidR="00D8452D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Niezadawalająca liczba miejsc spotkań oraz atrakcyjnych przestrzeni sprzyjających budowaniu relacji i więzi społecznych (w szczególności między pokoleniowych oraz wśród grup rówieśniczych)</w:t>
            </w:r>
          </w:p>
          <w:p w:rsidR="00D8452D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</w:p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Mała rozpoznawalność LGD „KORONA SĄDECKA”</w:t>
            </w:r>
          </w:p>
        </w:tc>
        <w:tc>
          <w:tcPr>
            <w:tcW w:w="654" w:type="dxa"/>
            <w:vMerge w:val="restart"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Rozdział  2</w:t>
            </w:r>
            <w:r>
              <w:rPr>
                <w:rFonts w:ascii="Arial Narrow" w:hAnsi="Arial Narrow"/>
              </w:rPr>
              <w:t>, 5</w:t>
            </w:r>
            <w:r w:rsidRPr="000E60CF">
              <w:rPr>
                <w:rFonts w:ascii="Arial Narrow" w:hAnsi="Arial Narrow"/>
              </w:rPr>
              <w:t xml:space="preserve"> diagnozy / wnioski z warsztatów strategicznych </w:t>
            </w:r>
          </w:p>
        </w:tc>
      </w:tr>
      <w:tr w:rsidR="00D8452D" w:rsidRPr="000E60CF" w:rsidTr="00FB484B">
        <w:trPr>
          <w:cantSplit/>
          <w:trHeight w:val="2169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Gmina Chełmiec czwarty raz z rzędu znalazła się na pierwszym miejscu w Polsce w kategorii „Najlepsza gmina wiejska 2014 roku”, oraz na trzecim miejscu w skali kraju w rankingu energii odnawialnej. </w:t>
            </w:r>
          </w:p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Na przestrzeni lat 2009-2013 liczba przedszkoli na terenie LGD wzrosła o połowę (z 12 do 18).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  <w:tc>
          <w:tcPr>
            <w:tcW w:w="4257" w:type="dxa"/>
            <w:vMerge/>
            <w:shd w:val="clear" w:color="auto" w:fill="auto"/>
          </w:tcPr>
          <w:p w:rsidR="00D8452D" w:rsidRPr="000E60CF" w:rsidRDefault="00D8452D" w:rsidP="00FB484B">
            <w:pPr>
              <w:keepNext/>
              <w:keepLines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654" w:type="dxa"/>
            <w:vMerge/>
            <w:shd w:val="clear" w:color="auto" w:fill="auto"/>
            <w:textDirection w:val="btLr"/>
          </w:tcPr>
          <w:p w:rsidR="00D8452D" w:rsidRPr="000E60CF" w:rsidRDefault="00D8452D" w:rsidP="00FB484B">
            <w:pPr>
              <w:keepNext/>
              <w:keepLines/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224"/>
          <w:jc w:val="center"/>
        </w:trPr>
        <w:tc>
          <w:tcPr>
            <w:tcW w:w="484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Szanse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8452D" w:rsidRPr="000E60CF" w:rsidRDefault="00D8452D" w:rsidP="00FB484B">
            <w:pPr>
              <w:jc w:val="center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  <w:b/>
              </w:rPr>
              <w:t>Zagrożenia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6E3BC" w:themeFill="accent3" w:themeFillTint="66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</w:p>
        </w:tc>
      </w:tr>
      <w:tr w:rsidR="00D8452D" w:rsidRPr="000E60CF" w:rsidTr="00FB484B">
        <w:trPr>
          <w:cantSplit/>
          <w:trHeight w:val="7949"/>
          <w:jc w:val="center"/>
        </w:trPr>
        <w:tc>
          <w:tcPr>
            <w:tcW w:w="4845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lastRenderedPageBreak/>
              <w:t>Dostępność funduszy zewnętrznych (Europejski Fundusz Społeczny, Europejski Fundusz Rozwoju Regionalnego, Europejski Fundusz Rolny na rzecz Rozwoju Obszarów Wiejskich, Narodowy Fundusz Ochrony Środowiska) na działania wspierające modernizację i rozbudowę infrastruktury technicznej i społecznej, działania proekologiczne i eliminujące niską emisję, zagospodarowanie przestrzeni publicznych.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Moda na ekologię, wzrost świadomości proekologicznej u mieszkańców – działania antysmogowe i ograniczające niską emisję.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Zmiany w prawie krajobrazowym – nowe kompetencje dla samorządów lokalnych w zakresie kształtowania ładu przestrzennego i estetyki przestrzeni publicznej np. eliminacja reklam wielkoformatowych itp.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Moda na zdrowy tryb życia, popularyzacja aktywności fizycznej np. jazda rowerem, zajęcia fitness, pływanie itp.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Dostępność funduszy i wzrost świadomości w zakresie rewitalizacji przestrzeni (powolne odchodzenie od rewitalizacji pomijającej aspekt społeczny i gospodarczy).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Moda na mieszkanie poza ścisłym centrum miast – osiedlanie się w mniejszych miejscowościach, budowa domów jednorodzinnych, chęć mieszkania bliżej przyrody.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Wzrost aktywności różnego typu grup nacisku – organizowania się społeczeństwa wokół różnego typu kwestii istotnych z punktu widzenia małych społeczności (np. nowe inwestycje, ochrona środowiska, bezpieczeństwo</w:t>
            </w:r>
            <w:r>
              <w:rPr>
                <w:rFonts w:ascii="Arial Narrow" w:hAnsi="Arial Narrow"/>
              </w:rPr>
              <w:t>, społeczeństwo obywatelskie</w:t>
            </w:r>
            <w:r w:rsidRPr="000E60CF">
              <w:rPr>
                <w:rFonts w:ascii="Arial Narrow" w:hAnsi="Arial Narrow"/>
              </w:rPr>
              <w:t>).</w:t>
            </w:r>
          </w:p>
        </w:tc>
        <w:tc>
          <w:tcPr>
            <w:tcW w:w="700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  <w:tc>
          <w:tcPr>
            <w:tcW w:w="4257" w:type="dxa"/>
            <w:shd w:val="clear" w:color="auto" w:fill="auto"/>
          </w:tcPr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Ubożenie części społeczeństwa i związane z tym próby oszczędności w ogrzewaniu kosztem jakości spalanych paliw – korzystanie z niskiej jakości miałów węglowych, spalanie śmieci itp.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 xml:space="preserve">Unifikacja, globalizacja i standaryzacja przestrzeni publicznej – zatracanie lokalności. Korzystanie z katalogowych rozwiązań – przestrzeń publiczna w większości miejscowości kształtowana jest w oparciu o te same wzorce – brak lokalnych specyfik i wyróżników. 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Roszczeniowość społeczeństwa – postawa oczekiwania, że państwo/samorząd rozwiąże wszystkie problemy, bierność.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Migracja edukacyjna i zarobkowa mieszkańców.</w:t>
            </w:r>
          </w:p>
          <w:p w:rsidR="00D8452D" w:rsidRPr="000E60CF" w:rsidRDefault="00D8452D" w:rsidP="00FB484B">
            <w:pPr>
              <w:jc w:val="both"/>
              <w:rPr>
                <w:rFonts w:ascii="Arial Narrow" w:hAnsi="Arial Narrow"/>
              </w:rPr>
            </w:pPr>
            <w:r w:rsidRPr="000E60CF">
              <w:rPr>
                <w:rFonts w:ascii="Arial Narrow" w:hAnsi="Arial Narrow"/>
              </w:rPr>
              <w:t>Indywidualizacja i prywatyzacja życia – zanikanie więzi społecznych, sąsiedzkich.</w:t>
            </w:r>
          </w:p>
        </w:tc>
        <w:tc>
          <w:tcPr>
            <w:tcW w:w="654" w:type="dxa"/>
            <w:shd w:val="clear" w:color="auto" w:fill="auto"/>
            <w:textDirection w:val="btLr"/>
          </w:tcPr>
          <w:p w:rsidR="00D8452D" w:rsidRPr="000E60CF" w:rsidRDefault="00D8452D" w:rsidP="00FB484B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0E60CF">
              <w:rPr>
                <w:rFonts w:ascii="Arial Narrow" w:hAnsi="Arial Narrow"/>
              </w:rPr>
              <w:t>Wnioski z warsztatów strategicznych</w:t>
            </w:r>
          </w:p>
        </w:tc>
      </w:tr>
    </w:tbl>
    <w:p w:rsidR="00D8452D" w:rsidRDefault="00D8452D"/>
    <w:p w:rsidR="00D8452D" w:rsidRDefault="00D8452D"/>
    <w:p w:rsidR="00D8452D" w:rsidRPr="000E60CF" w:rsidRDefault="00D8452D" w:rsidP="00D8452D">
      <w:pPr>
        <w:jc w:val="both"/>
        <w:rPr>
          <w:rFonts w:ascii="Arial Narrow" w:hAnsi="Arial Narrow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Default="00D8452D" w:rsidP="00D8452D">
      <w:pPr>
        <w:rPr>
          <w:rFonts w:ascii="Arial Narrow" w:hAnsi="Arial Narrow"/>
          <w:b/>
          <w:bCs/>
          <w:color w:val="000000"/>
        </w:rPr>
      </w:pPr>
    </w:p>
    <w:p w:rsidR="00D8452D" w:rsidRPr="00D0485E" w:rsidRDefault="00D0485E">
      <w:pPr>
        <w:rPr>
          <w:rStyle w:val="Wyrnienieintensywne"/>
        </w:rPr>
      </w:pPr>
      <w:r>
        <w:t>5</w:t>
      </w:r>
      <w:bookmarkStart w:id="0" w:name="_GoBack"/>
      <w:bookmarkEnd w:id="0"/>
    </w:p>
    <w:sectPr w:rsidR="00D8452D" w:rsidRPr="00D04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AF"/>
    <w:rsid w:val="002A44AA"/>
    <w:rsid w:val="006356B4"/>
    <w:rsid w:val="00D0485E"/>
    <w:rsid w:val="00D8452D"/>
    <w:rsid w:val="00E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52D"/>
    <w:pPr>
      <w:spacing w:after="0" w:line="240" w:lineRule="auto"/>
    </w:pPr>
    <w:rPr>
      <w:rFonts w:ascii="Candara" w:hAnsi="Candar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D8452D"/>
    <w:rPr>
      <w:color w:val="0563C1"/>
      <w:u w:val="single"/>
    </w:rPr>
  </w:style>
  <w:style w:type="character" w:styleId="Wyrnienieintensywne">
    <w:name w:val="Intense Emphasis"/>
    <w:basedOn w:val="Domylnaczcionkaakapitu"/>
    <w:uiPriority w:val="21"/>
    <w:qFormat/>
    <w:rsid w:val="00D0485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52D"/>
    <w:pPr>
      <w:spacing w:after="0" w:line="240" w:lineRule="auto"/>
    </w:pPr>
    <w:rPr>
      <w:rFonts w:ascii="Candara" w:hAnsi="Candar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4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D8452D"/>
    <w:rPr>
      <w:color w:val="0563C1"/>
      <w:u w:val="single"/>
    </w:rPr>
  </w:style>
  <w:style w:type="character" w:styleId="Wyrnienieintensywne">
    <w:name w:val="Intense Emphasis"/>
    <w:basedOn w:val="Domylnaczcionkaakapitu"/>
    <w:uiPriority w:val="21"/>
    <w:qFormat/>
    <w:rsid w:val="00D0485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zn.pl/biegi-narciarskie/aktualnosci/art1078,pzn-wspiera-budowe-tras-biegowych-w-gminie-grybow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2319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mdabrowska</dc:creator>
  <cp:keywords/>
  <dc:description/>
  <cp:lastModifiedBy>mdabrowska</cp:lastModifiedBy>
  <cp:revision>4</cp:revision>
  <cp:lastPrinted>2019-02-27T11:06:00Z</cp:lastPrinted>
  <dcterms:created xsi:type="dcterms:W3CDTF">2019-02-27T10:17:00Z</dcterms:created>
  <dcterms:modified xsi:type="dcterms:W3CDTF">2019-02-27T11:25:00Z</dcterms:modified>
</cp:coreProperties>
</file>